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6A03A6" w14:textId="6821DD4B" w:rsidR="007B6300" w:rsidRDefault="007B6300" w:rsidP="007B6300">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90bis</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R1-171</w:t>
      </w:r>
      <w:r w:rsidR="00CC620E">
        <w:rPr>
          <w:rFonts w:ascii="Arial" w:hAnsi="Arial" w:cs="Arial"/>
          <w:b/>
          <w:bCs/>
          <w:sz w:val="24"/>
          <w:szCs w:val="24"/>
          <w:lang w:val="en-US"/>
        </w:rPr>
        <w:t>7607</w:t>
      </w:r>
    </w:p>
    <w:p w14:paraId="467099ED" w14:textId="1F1AB559" w:rsidR="00342604" w:rsidRPr="003444D3" w:rsidRDefault="007B6300" w:rsidP="007B6300">
      <w:pPr>
        <w:pStyle w:val="CRCoverPage"/>
        <w:snapToGrid w:val="0"/>
        <w:spacing w:after="0"/>
        <w:outlineLvl w:val="0"/>
        <w:rPr>
          <w:b/>
          <w:noProof/>
          <w:sz w:val="16"/>
          <w:szCs w:val="24"/>
          <w:lang w:val="en-US"/>
        </w:rPr>
      </w:pPr>
      <w:r w:rsidRPr="00354589">
        <w:rPr>
          <w:rFonts w:eastAsia="MS Mincho" w:cs="Arial"/>
          <w:b/>
          <w:bCs/>
          <w:sz w:val="24"/>
          <w:szCs w:val="24"/>
          <w:lang w:eastAsia="ja-JP"/>
        </w:rPr>
        <w:t>Prague, CZ, 9</w:t>
      </w:r>
      <w:r w:rsidRPr="00354589">
        <w:rPr>
          <w:rFonts w:eastAsia="MS Mincho" w:cs="Arial"/>
          <w:b/>
          <w:bCs/>
          <w:sz w:val="24"/>
          <w:szCs w:val="24"/>
          <w:vertAlign w:val="superscript"/>
          <w:lang w:eastAsia="ja-JP"/>
        </w:rPr>
        <w:t>th</w:t>
      </w:r>
      <w:r w:rsidRPr="00354589">
        <w:rPr>
          <w:rFonts w:eastAsia="MS Mincho" w:cs="Arial"/>
          <w:b/>
          <w:bCs/>
          <w:sz w:val="24"/>
          <w:szCs w:val="24"/>
          <w:lang w:eastAsia="ja-JP"/>
        </w:rPr>
        <w:t xml:space="preserve"> – 13</w:t>
      </w:r>
      <w:r w:rsidRPr="00354589">
        <w:rPr>
          <w:rFonts w:eastAsia="MS Mincho" w:cs="Arial"/>
          <w:b/>
          <w:bCs/>
          <w:sz w:val="24"/>
          <w:szCs w:val="24"/>
          <w:vertAlign w:val="superscript"/>
          <w:lang w:eastAsia="ja-JP"/>
        </w:rPr>
        <w:t>th</w:t>
      </w:r>
      <w:r w:rsidRPr="00354589">
        <w:rPr>
          <w:rFonts w:eastAsia="MS Mincho" w:cs="Arial"/>
          <w:b/>
          <w:bCs/>
          <w:sz w:val="24"/>
          <w:szCs w:val="24"/>
          <w:lang w:eastAsia="ja-JP"/>
        </w:rPr>
        <w:t xml:space="preserve">, </w:t>
      </w:r>
      <w:r w:rsidRPr="00354589">
        <w:rPr>
          <w:rFonts w:cs="Arial"/>
          <w:b/>
          <w:bCs/>
          <w:sz w:val="24"/>
          <w:szCs w:val="24"/>
        </w:rPr>
        <w:t>October 201</w:t>
      </w:r>
      <w:r w:rsidRPr="00354589">
        <w:rPr>
          <w:rFonts w:eastAsia="MS Mincho" w:cs="Arial"/>
          <w:b/>
          <w:bCs/>
          <w:sz w:val="24"/>
          <w:szCs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742CB00F"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AA00B1">
        <w:rPr>
          <w:rFonts w:ascii="Arial" w:hAnsi="Arial"/>
          <w:sz w:val="24"/>
          <w:lang w:val="en-US" w:eastAsia="ko-KR"/>
        </w:rPr>
        <w:t>7</w:t>
      </w:r>
      <w:r w:rsidR="00A1499F">
        <w:rPr>
          <w:rFonts w:ascii="Arial" w:hAnsi="Arial"/>
          <w:sz w:val="24"/>
          <w:lang w:val="en-US" w:eastAsia="ko-KR"/>
        </w:rPr>
        <w:t>.</w:t>
      </w:r>
      <w:r w:rsidR="003B3AEC">
        <w:rPr>
          <w:rFonts w:ascii="Arial" w:hAnsi="Arial"/>
          <w:sz w:val="24"/>
          <w:lang w:val="en-US" w:eastAsia="ko-KR"/>
        </w:rPr>
        <w:t>2.2</w:t>
      </w:r>
      <w:r w:rsidR="00E1278E">
        <w:rPr>
          <w:rFonts w:ascii="Arial" w:hAnsi="Arial"/>
          <w:sz w:val="24"/>
          <w:lang w:val="en-US" w:eastAsia="ko-KR"/>
        </w:rPr>
        <w:t>.</w:t>
      </w:r>
      <w:r w:rsidR="00A1499F">
        <w:rPr>
          <w:rFonts w:ascii="Arial" w:hAnsi="Arial"/>
          <w:sz w:val="24"/>
          <w:lang w:val="en-US" w:eastAsia="ko-KR"/>
        </w:rPr>
        <w:t>5</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2F417FA5"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942802">
        <w:rPr>
          <w:rFonts w:ascii="Arial" w:hAnsi="Arial"/>
          <w:sz w:val="24"/>
          <w:lang w:val="en-US"/>
        </w:rPr>
        <w:t>CQI Definition</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755E662A" w14:textId="694B1535" w:rsidR="001254AD" w:rsidRPr="001F5A64" w:rsidRDefault="0072162A" w:rsidP="001F5A64">
      <w:pPr>
        <w:pStyle w:val="Heading1"/>
        <w:rPr>
          <w:sz w:val="28"/>
          <w:lang w:val="en-US"/>
        </w:rPr>
      </w:pPr>
      <w:r w:rsidRPr="00741827">
        <w:rPr>
          <w:sz w:val="28"/>
          <w:lang w:val="en-US"/>
        </w:rPr>
        <w:t>Introduction</w:t>
      </w:r>
    </w:p>
    <w:p w14:paraId="0E12BA48" w14:textId="5BD5D903" w:rsidR="00331709" w:rsidRDefault="00D23CF3" w:rsidP="000D684E">
      <w:pPr>
        <w:pStyle w:val="maintext"/>
        <w:ind w:firstLine="400"/>
        <w:rPr>
          <w:lang w:val="en-US"/>
        </w:rPr>
      </w:pPr>
      <w:r>
        <w:rPr>
          <w:lang w:val="en-US"/>
        </w:rPr>
        <w:t>Analogous to LTE, a CSI report can include any of the following CSI parameters: CRI, RI, PMI, and CQI. For Type I CSI, all these four parameters are applicable. For Type II CSI, at least RI, PMI, and CQI are applicable (the applicability of CRI for Type II is still being discussed).</w:t>
      </w:r>
    </w:p>
    <w:p w14:paraId="35F326E0" w14:textId="065FFBA7" w:rsidR="00D23CF3" w:rsidRDefault="00D23CF3" w:rsidP="000D684E">
      <w:pPr>
        <w:pStyle w:val="maintext"/>
        <w:ind w:firstLine="400"/>
        <w:rPr>
          <w:lang w:val="en-US"/>
        </w:rPr>
      </w:pPr>
      <w:r>
        <w:rPr>
          <w:lang w:val="en-US"/>
        </w:rPr>
        <w:t>This contribution presents our view on CQI definition. In particular, the following issues will be discussed:</w:t>
      </w:r>
    </w:p>
    <w:p w14:paraId="664529C3" w14:textId="15216080" w:rsidR="00D23CF3" w:rsidRDefault="00D23CF3" w:rsidP="00D23CF3">
      <w:pPr>
        <w:pStyle w:val="maintext"/>
        <w:numPr>
          <w:ilvl w:val="0"/>
          <w:numId w:val="31"/>
        </w:numPr>
        <w:ind w:firstLineChars="0"/>
        <w:rPr>
          <w:lang w:val="en-US"/>
        </w:rPr>
      </w:pPr>
      <w:r>
        <w:rPr>
          <w:lang w:val="en-US"/>
        </w:rPr>
        <w:t>Calculation order</w:t>
      </w:r>
    </w:p>
    <w:p w14:paraId="4187E322" w14:textId="57732EBF" w:rsidR="00D23CF3" w:rsidRDefault="00D23CF3" w:rsidP="00D23CF3">
      <w:pPr>
        <w:pStyle w:val="maintext"/>
        <w:numPr>
          <w:ilvl w:val="0"/>
          <w:numId w:val="31"/>
        </w:numPr>
        <w:ind w:firstLineChars="0"/>
        <w:rPr>
          <w:lang w:val="en-US"/>
        </w:rPr>
      </w:pPr>
      <w:r>
        <w:rPr>
          <w:lang w:val="en-US"/>
        </w:rPr>
        <w:t>CQI design (for different operations)</w:t>
      </w:r>
    </w:p>
    <w:p w14:paraId="15E11222" w14:textId="77777777" w:rsidR="009551AD" w:rsidRDefault="009551AD" w:rsidP="003423BB">
      <w:pPr>
        <w:pStyle w:val="maintext"/>
        <w:ind w:firstLineChars="0" w:firstLine="450"/>
        <w:rPr>
          <w:lang w:val="en-US"/>
        </w:rPr>
      </w:pPr>
    </w:p>
    <w:p w14:paraId="4D7429B9" w14:textId="10605608" w:rsidR="00F25A52" w:rsidRPr="000E45AD" w:rsidRDefault="00D23CF3" w:rsidP="00F25A52">
      <w:pPr>
        <w:pStyle w:val="Heading1"/>
        <w:rPr>
          <w:sz w:val="28"/>
          <w:lang w:val="en-US"/>
        </w:rPr>
      </w:pPr>
      <w:r>
        <w:rPr>
          <w:sz w:val="28"/>
          <w:lang w:val="en-US"/>
        </w:rPr>
        <w:t>Calculation order</w:t>
      </w:r>
    </w:p>
    <w:p w14:paraId="7C716A55"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6092DB3"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B62A1F4" w14:textId="77777777" w:rsidR="004020F8" w:rsidRDefault="004020F8" w:rsidP="004020F8">
      <w:pPr>
        <w:pStyle w:val="maintext"/>
        <w:ind w:firstLineChars="0" w:firstLine="450"/>
        <w:rPr>
          <w:lang w:val="en-US"/>
        </w:rPr>
      </w:pPr>
      <w:r>
        <w:rPr>
          <w:lang w:val="en-US"/>
        </w:rPr>
        <w:t xml:space="preserve">In LTE, the following hierarchy is established: </w:t>
      </w:r>
    </w:p>
    <w:p w14:paraId="61EBB6D9" w14:textId="77777777" w:rsidR="004020F8" w:rsidRDefault="004020F8" w:rsidP="004020F8">
      <w:pPr>
        <w:pStyle w:val="maintext"/>
        <w:numPr>
          <w:ilvl w:val="0"/>
          <w:numId w:val="13"/>
        </w:numPr>
        <w:ind w:firstLineChars="0"/>
        <w:rPr>
          <w:lang w:val="en-US"/>
        </w:rPr>
      </w:pPr>
      <w:r w:rsidRPr="00836647">
        <w:rPr>
          <w:lang w:val="en-US"/>
        </w:rPr>
        <w:t>RI is calculated conditioned on CRI,</w:t>
      </w:r>
      <w:r>
        <w:rPr>
          <w:lang w:val="en-US"/>
        </w:rPr>
        <w:t xml:space="preserve"> if CRI is reported</w:t>
      </w:r>
      <w:r w:rsidRPr="00836647">
        <w:rPr>
          <w:lang w:val="en-US"/>
        </w:rPr>
        <w:t xml:space="preserve"> </w:t>
      </w:r>
    </w:p>
    <w:p w14:paraId="2AD29F4A" w14:textId="77777777" w:rsidR="004020F8" w:rsidRDefault="004020F8" w:rsidP="004020F8">
      <w:pPr>
        <w:pStyle w:val="maintext"/>
        <w:numPr>
          <w:ilvl w:val="0"/>
          <w:numId w:val="13"/>
        </w:numPr>
        <w:ind w:firstLineChars="0"/>
        <w:rPr>
          <w:lang w:val="en-US"/>
        </w:rPr>
      </w:pPr>
      <w:r>
        <w:rPr>
          <w:lang w:val="en-US"/>
        </w:rPr>
        <w:t xml:space="preserve">PMI on CRI and/or RI, depending on whether CRI and/or RI are reported. If dual-stage codebook is used, the calculation of the second PMI is dependent on the first PMI. </w:t>
      </w:r>
    </w:p>
    <w:p w14:paraId="4E9C0C1D" w14:textId="31D8659D" w:rsidR="00D23CF3" w:rsidRPr="00A90EFB" w:rsidRDefault="004020F8" w:rsidP="00A90EFB">
      <w:pPr>
        <w:pStyle w:val="maintext"/>
        <w:numPr>
          <w:ilvl w:val="0"/>
          <w:numId w:val="13"/>
        </w:numPr>
        <w:ind w:firstLineChars="0"/>
        <w:rPr>
          <w:lang w:val="en-US"/>
        </w:rPr>
      </w:pPr>
      <w:r>
        <w:rPr>
          <w:lang w:val="en-US"/>
        </w:rPr>
        <w:t xml:space="preserve">CQI on CRI, RI, and/or </w:t>
      </w:r>
      <w:r w:rsidRPr="00836647">
        <w:rPr>
          <w:lang w:val="en-US"/>
        </w:rPr>
        <w:t xml:space="preserve">PMI, </w:t>
      </w:r>
      <w:r>
        <w:rPr>
          <w:lang w:val="en-US"/>
        </w:rPr>
        <w:t>depending on whether CRI and/or RI are reported</w:t>
      </w:r>
      <w:r w:rsidRPr="00836647">
        <w:rPr>
          <w:lang w:val="en-US"/>
        </w:rPr>
        <w:t xml:space="preserve">. </w:t>
      </w:r>
    </w:p>
    <w:p w14:paraId="696E1F9C" w14:textId="491D0F9A" w:rsidR="00B412B6" w:rsidRDefault="00445553" w:rsidP="00B412B6">
      <w:pPr>
        <w:pStyle w:val="maintext"/>
        <w:ind w:firstLineChars="0" w:firstLine="450"/>
        <w:rPr>
          <w:lang w:val="en-US"/>
        </w:rPr>
      </w:pPr>
      <w:r>
        <w:rPr>
          <w:lang w:val="en-US"/>
        </w:rPr>
        <w:t>In general, at least two of these CSI parameters can be jointly selected when calculated on the UE side. For instance, RI and PMI (either a single index or a group of indices)</w:t>
      </w:r>
      <w:r w:rsidR="00B412B6">
        <w:rPr>
          <w:lang w:val="en-US"/>
        </w:rPr>
        <w:t xml:space="preserve"> can be determined together since they both characterize a codebook. When RI and PMI are calculated, CQI can be a byproduct if spectral efficiency is used as a metric for selecting these parameters. </w:t>
      </w:r>
      <w:r w:rsidR="008E0990">
        <w:rPr>
          <w:lang w:val="en-US"/>
        </w:rPr>
        <w:t>Within the given constraints (e.g. 10% BLER), t</w:t>
      </w:r>
      <w:r w:rsidR="00B412B6">
        <w:rPr>
          <w:lang w:val="en-US"/>
        </w:rPr>
        <w:t>he manner in which CSI parameters are calculated is a UE implementation issue.</w:t>
      </w:r>
    </w:p>
    <w:p w14:paraId="63094D71" w14:textId="60FDF760" w:rsidR="003610AD" w:rsidRDefault="00296834" w:rsidP="00B412B6">
      <w:pPr>
        <w:pStyle w:val="maintext"/>
        <w:ind w:firstLineChars="0" w:firstLine="450"/>
        <w:rPr>
          <w:lang w:val="en-US"/>
        </w:rPr>
      </w:pPr>
      <w:r>
        <w:rPr>
          <w:lang w:val="en-US"/>
        </w:rPr>
        <w:t>Therefore</w:t>
      </w:r>
      <w:r w:rsidR="00B412B6">
        <w:rPr>
          <w:lang w:val="en-US"/>
        </w:rPr>
        <w:t>, t</w:t>
      </w:r>
      <w:r w:rsidR="00445553">
        <w:rPr>
          <w:lang w:val="en-US"/>
        </w:rPr>
        <w:t xml:space="preserve">he above ordering </w:t>
      </w:r>
      <w:r>
        <w:rPr>
          <w:lang w:val="en-US"/>
        </w:rPr>
        <w:t xml:space="preserve">establishes a </w:t>
      </w:r>
      <w:r w:rsidRPr="00296834">
        <w:rPr>
          <w:i/>
          <w:lang w:val="en-US"/>
        </w:rPr>
        <w:t>priority rule</w:t>
      </w:r>
      <w:r>
        <w:rPr>
          <w:lang w:val="en-US"/>
        </w:rPr>
        <w:t xml:space="preserve"> among the four types of CSI parameter.</w:t>
      </w:r>
      <w:r w:rsidR="00AA2861">
        <w:rPr>
          <w:lang w:val="en-US"/>
        </w:rPr>
        <w:t xml:space="preserve"> This ordering or hierarchy sets some constraints on how the CSI parameters are calculated – yet still allowing some freedom for UE implementation.</w:t>
      </w:r>
    </w:p>
    <w:p w14:paraId="0159147E" w14:textId="0EE858BB" w:rsidR="003610AD" w:rsidRDefault="00A90EFB" w:rsidP="004020F8">
      <w:pPr>
        <w:pStyle w:val="maintext"/>
        <w:ind w:firstLineChars="0" w:firstLine="450"/>
        <w:rPr>
          <w:lang w:val="en-US"/>
        </w:rPr>
      </w:pPr>
      <w:r>
        <w:rPr>
          <w:lang w:val="en-US"/>
        </w:rPr>
        <w:t>W</w:t>
      </w:r>
      <w:r w:rsidR="004020F8" w:rsidRPr="00836647">
        <w:rPr>
          <w:lang w:val="en-US"/>
        </w:rPr>
        <w:t>hen a CSI parameter is not reported, any dependencies on the parameter are skipped (e.g. when K=1 beam/resource is used, CRI is unnecessary; for TDD use cases, PMI may not be necessary</w:t>
      </w:r>
      <w:r w:rsidR="004020F8">
        <w:rPr>
          <w:lang w:val="en-US"/>
        </w:rPr>
        <w:t xml:space="preserve">; for “semi-open-loop” </w:t>
      </w:r>
      <w:r w:rsidR="00C81AF5">
        <w:rPr>
          <w:lang w:val="en-US"/>
        </w:rPr>
        <w:t xml:space="preserve">or hybrid CSI </w:t>
      </w:r>
      <w:r w:rsidR="004020F8">
        <w:rPr>
          <w:lang w:val="en-US"/>
        </w:rPr>
        <w:t xml:space="preserve">operation, only the </w:t>
      </w:r>
      <w:r w:rsidR="00C81AF5">
        <w:rPr>
          <w:lang w:val="en-US"/>
        </w:rPr>
        <w:t>first</w:t>
      </w:r>
      <w:r w:rsidR="004020F8">
        <w:rPr>
          <w:lang w:val="en-US"/>
        </w:rPr>
        <w:t xml:space="preserve"> PMI needs to be reported in conjunction with </w:t>
      </w:r>
      <w:r w:rsidR="00D67757">
        <w:rPr>
          <w:lang w:val="en-US"/>
        </w:rPr>
        <w:t>C</w:t>
      </w:r>
      <w:r w:rsidR="004020F8">
        <w:rPr>
          <w:lang w:val="en-US"/>
        </w:rPr>
        <w:t>QI and RI</w:t>
      </w:r>
      <w:r w:rsidR="004020F8" w:rsidRPr="00836647">
        <w:rPr>
          <w:lang w:val="en-US"/>
        </w:rPr>
        <w:t xml:space="preserve">). </w:t>
      </w:r>
    </w:p>
    <w:p w14:paraId="3E8A8568" w14:textId="5173D042" w:rsidR="004020F8" w:rsidRDefault="00A90EFB" w:rsidP="004020F8">
      <w:pPr>
        <w:pStyle w:val="maintext"/>
        <w:ind w:firstLineChars="0" w:firstLine="450"/>
        <w:rPr>
          <w:lang w:val="en-US"/>
        </w:rPr>
      </w:pPr>
      <w:r>
        <w:rPr>
          <w:lang w:val="en-US"/>
        </w:rPr>
        <w:t>Since there is no strong reason to deviate from this ordering, t</w:t>
      </w:r>
      <w:r w:rsidR="004020F8" w:rsidRPr="00836647">
        <w:rPr>
          <w:lang w:val="en-US"/>
        </w:rPr>
        <w:t xml:space="preserve">he same CSI calculation dependency order can be adopted for NR. </w:t>
      </w:r>
    </w:p>
    <w:p w14:paraId="0DE5044F" w14:textId="77777777" w:rsidR="0017478F" w:rsidRDefault="0017478F" w:rsidP="004020F8">
      <w:pPr>
        <w:pStyle w:val="maintext"/>
        <w:ind w:firstLineChars="0" w:firstLine="0"/>
        <w:rPr>
          <w:lang w:val="en-US"/>
        </w:rPr>
      </w:pPr>
    </w:p>
    <w:p w14:paraId="59932031" w14:textId="3C2C101D" w:rsidR="004020F8" w:rsidRDefault="0017478F" w:rsidP="003C705A">
      <w:pPr>
        <w:pStyle w:val="maintext"/>
        <w:ind w:firstLineChars="0" w:firstLine="0"/>
        <w:rPr>
          <w:i/>
          <w:lang w:val="en-US"/>
        </w:rPr>
      </w:pPr>
      <w:r w:rsidRPr="0017478F">
        <w:rPr>
          <w:b/>
          <w:u w:val="single"/>
          <w:lang w:val="en-US"/>
        </w:rPr>
        <w:t>Proposal</w:t>
      </w:r>
      <w:r>
        <w:rPr>
          <w:lang w:val="en-US"/>
        </w:rPr>
        <w:t xml:space="preserve">: </w:t>
      </w:r>
      <w:r w:rsidR="00A90EFB">
        <w:rPr>
          <w:i/>
          <w:lang w:val="en-US"/>
        </w:rPr>
        <w:t>Support the same CSI calculation ordering as that for LTE</w:t>
      </w:r>
      <w:r w:rsidR="003C705A">
        <w:rPr>
          <w:i/>
          <w:lang w:val="en-US"/>
        </w:rPr>
        <w:t xml:space="preserve">: </w:t>
      </w:r>
      <w:r w:rsidR="00A37250">
        <w:rPr>
          <w:i/>
          <w:lang w:val="en-US"/>
        </w:rPr>
        <w:t xml:space="preserve">CRI </w:t>
      </w:r>
      <w:r w:rsidR="00296834">
        <w:rPr>
          <w:i/>
          <w:lang w:val="en-US"/>
        </w:rPr>
        <w:t>(highest priority)</w:t>
      </w:r>
      <w:r w:rsidR="00A37250" w:rsidRPr="00A37250">
        <w:rPr>
          <w:i/>
          <w:lang w:val="en-US"/>
        </w:rPr>
        <w:sym w:font="Wingdings" w:char="F0E0"/>
      </w:r>
      <w:r w:rsidR="00A37250">
        <w:rPr>
          <w:i/>
          <w:lang w:val="en-US"/>
        </w:rPr>
        <w:t xml:space="preserve"> RI </w:t>
      </w:r>
      <w:r w:rsidR="00A37250" w:rsidRPr="00A37250">
        <w:rPr>
          <w:i/>
          <w:lang w:val="en-US"/>
        </w:rPr>
        <w:sym w:font="Wingdings" w:char="F0E0"/>
      </w:r>
      <w:r w:rsidR="00A37250">
        <w:rPr>
          <w:i/>
          <w:lang w:val="en-US"/>
        </w:rPr>
        <w:t xml:space="preserve"> PMI </w:t>
      </w:r>
      <w:r w:rsidR="00A37250" w:rsidRPr="00A37250">
        <w:rPr>
          <w:i/>
          <w:lang w:val="en-US"/>
        </w:rPr>
        <w:sym w:font="Wingdings" w:char="F0E0"/>
      </w:r>
      <w:r w:rsidR="00A37250">
        <w:rPr>
          <w:i/>
          <w:lang w:val="en-US"/>
        </w:rPr>
        <w:t xml:space="preserve"> CQI</w:t>
      </w:r>
      <w:r w:rsidR="00DC1A25">
        <w:rPr>
          <w:i/>
          <w:lang w:val="en-US"/>
        </w:rPr>
        <w:t xml:space="preserve"> (lowest priority)</w:t>
      </w:r>
      <w:r w:rsidR="004020F8" w:rsidRPr="00260C28">
        <w:rPr>
          <w:i/>
          <w:lang w:val="en-US"/>
        </w:rPr>
        <w:t xml:space="preserve"> </w:t>
      </w:r>
    </w:p>
    <w:p w14:paraId="3E57E836" w14:textId="77777777" w:rsidR="00F25A52" w:rsidRDefault="00F25A52" w:rsidP="00CB4E0C">
      <w:pPr>
        <w:pStyle w:val="maintext"/>
        <w:ind w:firstLineChars="0" w:firstLine="0"/>
        <w:rPr>
          <w:lang w:val="en-US"/>
        </w:rPr>
      </w:pPr>
    </w:p>
    <w:p w14:paraId="74F914A1" w14:textId="780BA876" w:rsidR="008E0B25" w:rsidRPr="000E45AD" w:rsidRDefault="003C705A" w:rsidP="008E0B25">
      <w:pPr>
        <w:pStyle w:val="Heading1"/>
        <w:rPr>
          <w:sz w:val="28"/>
          <w:lang w:val="en-US"/>
        </w:rPr>
      </w:pPr>
      <w:r>
        <w:rPr>
          <w:sz w:val="28"/>
          <w:lang w:val="en-US"/>
        </w:rPr>
        <w:t>CQI design</w:t>
      </w:r>
      <w:r w:rsidR="008E0B25">
        <w:rPr>
          <w:sz w:val="28"/>
          <w:lang w:val="en-US"/>
        </w:rPr>
        <w:t xml:space="preserve"> </w:t>
      </w:r>
    </w:p>
    <w:p w14:paraId="12996D63"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3061D0C" w14:textId="77777777" w:rsidR="008E0B25" w:rsidRPr="00836647" w:rsidRDefault="008E0B25" w:rsidP="008E0B2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41E3120B" w14:textId="77777777" w:rsidR="00D24B98" w:rsidRDefault="00DF734A" w:rsidP="001E6D76">
      <w:pPr>
        <w:pStyle w:val="maintext"/>
        <w:ind w:firstLineChars="0" w:firstLine="450"/>
        <w:rPr>
          <w:lang w:val="en-US"/>
        </w:rPr>
      </w:pPr>
      <w:r>
        <w:rPr>
          <w:lang w:val="en-US"/>
        </w:rPr>
        <w:t>The bit-width of CRI, RI, and PMI has been set by some previous agreements</w:t>
      </w:r>
      <w:r w:rsidR="00D24B98">
        <w:rPr>
          <w:lang w:val="en-US"/>
        </w:rPr>
        <w:t>:</w:t>
      </w:r>
    </w:p>
    <w:p w14:paraId="24C60A8B" w14:textId="77777777" w:rsidR="00D24B98" w:rsidRDefault="00D24B98" w:rsidP="00D24B98">
      <w:pPr>
        <w:pStyle w:val="maintext"/>
        <w:numPr>
          <w:ilvl w:val="0"/>
          <w:numId w:val="32"/>
        </w:numPr>
        <w:ind w:firstLineChars="0"/>
        <w:rPr>
          <w:lang w:val="en-US"/>
        </w:rPr>
      </w:pPr>
      <w:r>
        <w:rPr>
          <w:lang w:val="en-US"/>
        </w:rPr>
        <w:t xml:space="preserve">CRI: Since the maximum value of K is 8, CRI bit-width ranges from 1 to 3 if CRI is reported </w:t>
      </w:r>
    </w:p>
    <w:p w14:paraId="631D4551" w14:textId="37C0EE35" w:rsidR="008E0B25" w:rsidRDefault="00D24B98" w:rsidP="00D24B98">
      <w:pPr>
        <w:pStyle w:val="maintext"/>
        <w:numPr>
          <w:ilvl w:val="0"/>
          <w:numId w:val="32"/>
        </w:numPr>
        <w:ind w:firstLineChars="0"/>
        <w:rPr>
          <w:lang w:val="en-US"/>
        </w:rPr>
      </w:pPr>
      <w:r>
        <w:rPr>
          <w:lang w:val="en-US"/>
        </w:rPr>
        <w:lastRenderedPageBreak/>
        <w:t xml:space="preserve">RI: Since a maximum of 8 layers is supported for DL MIMO, RI bit-width also ranges from 1 to 3 if RI is reported </w:t>
      </w:r>
    </w:p>
    <w:p w14:paraId="7F7F4789" w14:textId="6445835B" w:rsidR="00D24B98" w:rsidRDefault="00D24B98" w:rsidP="00D24B98">
      <w:pPr>
        <w:pStyle w:val="maintext"/>
        <w:numPr>
          <w:ilvl w:val="0"/>
          <w:numId w:val="32"/>
        </w:numPr>
        <w:ind w:firstLineChars="0"/>
        <w:rPr>
          <w:lang w:val="en-US"/>
        </w:rPr>
      </w:pPr>
      <w:r>
        <w:rPr>
          <w:lang w:val="en-US"/>
        </w:rPr>
        <w:t>PMI bit-width is determined by the size of the configured codebook</w:t>
      </w:r>
    </w:p>
    <w:p w14:paraId="274211D1" w14:textId="3CFA54FF" w:rsidR="007B4BAB" w:rsidRDefault="007B4BAB" w:rsidP="007B4BAB">
      <w:pPr>
        <w:pStyle w:val="maintext"/>
        <w:ind w:firstLineChars="0" w:firstLine="450"/>
        <w:rPr>
          <w:lang w:val="en-US"/>
        </w:rPr>
      </w:pPr>
      <w:r>
        <w:rPr>
          <w:lang w:val="en-US"/>
        </w:rPr>
        <w:t xml:space="preserve">In LTE, CQI is defined </w:t>
      </w:r>
      <w:r w:rsidRPr="007B4BAB">
        <w:rPr>
          <w:lang w:val="en-US"/>
        </w:rPr>
        <w:t>as recommended spectral efficiency under a similar constraint (e.g. 10% BLER within a pre-defined observation interval)</w:t>
      </w:r>
      <w:r>
        <w:rPr>
          <w:lang w:val="en-US"/>
        </w:rPr>
        <w:t>.</w:t>
      </w:r>
    </w:p>
    <w:p w14:paraId="469FCFB3" w14:textId="03017DF7" w:rsidR="00C24BDB" w:rsidRDefault="007B4BAB" w:rsidP="003E0574">
      <w:pPr>
        <w:pStyle w:val="maintext"/>
        <w:ind w:firstLineChars="0" w:firstLine="450"/>
        <w:rPr>
          <w:lang w:val="en-US"/>
        </w:rPr>
      </w:pPr>
      <w:r>
        <w:rPr>
          <w:lang w:val="en-US"/>
        </w:rPr>
        <w:t>Furthermore, i</w:t>
      </w:r>
      <w:r w:rsidR="00C24BDB">
        <w:rPr>
          <w:lang w:val="en-US"/>
        </w:rPr>
        <w:t>n LTE, CQI bit-width is given as follows:</w:t>
      </w:r>
    </w:p>
    <w:p w14:paraId="7B2E2AE6" w14:textId="1AF25F35" w:rsidR="00C24BDB" w:rsidRDefault="00C24BDB" w:rsidP="00C24BDB">
      <w:pPr>
        <w:pStyle w:val="maintext"/>
        <w:numPr>
          <w:ilvl w:val="0"/>
          <w:numId w:val="33"/>
        </w:numPr>
        <w:ind w:firstLineChars="0"/>
        <w:rPr>
          <w:lang w:val="en-US"/>
        </w:rPr>
      </w:pPr>
      <w:r>
        <w:rPr>
          <w:lang w:val="en-US"/>
        </w:rPr>
        <w:t>Base CQI (e.g. 1</w:t>
      </w:r>
      <w:r w:rsidRPr="00C24BDB">
        <w:rPr>
          <w:vertAlign w:val="superscript"/>
          <w:lang w:val="en-US"/>
        </w:rPr>
        <w:t>st</w:t>
      </w:r>
      <w:r>
        <w:rPr>
          <w:lang w:val="en-US"/>
        </w:rPr>
        <w:t xml:space="preserve"> CW or wideband CQI): 4 bits </w:t>
      </w:r>
    </w:p>
    <w:p w14:paraId="6F11D57B" w14:textId="717B2541" w:rsidR="003E0574" w:rsidRDefault="00C24BDB" w:rsidP="00C24BDB">
      <w:pPr>
        <w:pStyle w:val="maintext"/>
        <w:numPr>
          <w:ilvl w:val="1"/>
          <w:numId w:val="33"/>
        </w:numPr>
        <w:ind w:firstLineChars="0"/>
        <w:rPr>
          <w:lang w:val="en-US"/>
        </w:rPr>
      </w:pPr>
      <w:r>
        <w:rPr>
          <w:lang w:val="en-US"/>
        </w:rPr>
        <w:t xml:space="preserve">When 256QAM is configured, the bit-width is kept the same </w:t>
      </w:r>
      <w:r w:rsidRPr="00C24BDB">
        <w:rPr>
          <w:lang w:val="en-US"/>
        </w:rPr>
        <w:t xml:space="preserve">  </w:t>
      </w:r>
    </w:p>
    <w:p w14:paraId="0214CF9B" w14:textId="4ABD0F9F" w:rsidR="00C24BDB" w:rsidRDefault="00C24BDB" w:rsidP="00C24BDB">
      <w:pPr>
        <w:pStyle w:val="maintext"/>
        <w:numPr>
          <w:ilvl w:val="0"/>
          <w:numId w:val="33"/>
        </w:numPr>
        <w:ind w:firstLineChars="0"/>
        <w:rPr>
          <w:lang w:val="en-US"/>
        </w:rPr>
      </w:pPr>
      <w:r>
        <w:rPr>
          <w:lang w:val="en-US"/>
        </w:rPr>
        <w:t>Differential CQI:</w:t>
      </w:r>
    </w:p>
    <w:p w14:paraId="7C685CCD" w14:textId="763241BC" w:rsidR="00C24BDB" w:rsidRDefault="00C24BDB" w:rsidP="00C24BDB">
      <w:pPr>
        <w:pStyle w:val="maintext"/>
        <w:numPr>
          <w:ilvl w:val="1"/>
          <w:numId w:val="33"/>
        </w:numPr>
        <w:ind w:firstLineChars="0"/>
        <w:rPr>
          <w:lang w:val="en-US"/>
        </w:rPr>
      </w:pPr>
      <w:r>
        <w:rPr>
          <w:lang w:val="en-US"/>
        </w:rPr>
        <w:t>For wideband CQI, 3-bit CQI for the 2</w:t>
      </w:r>
      <w:r w:rsidRPr="00C24BDB">
        <w:rPr>
          <w:vertAlign w:val="superscript"/>
          <w:lang w:val="en-US"/>
        </w:rPr>
        <w:t>nd</w:t>
      </w:r>
      <w:r>
        <w:rPr>
          <w:lang w:val="en-US"/>
        </w:rPr>
        <w:t xml:space="preserve"> CW (when RI&gt;1 and CL SM is configured) is used</w:t>
      </w:r>
    </w:p>
    <w:p w14:paraId="5B32D66E" w14:textId="152CC81F" w:rsidR="00C24BDB" w:rsidRDefault="00C24BDB" w:rsidP="00C24BDB">
      <w:pPr>
        <w:pStyle w:val="maintext"/>
        <w:numPr>
          <w:ilvl w:val="1"/>
          <w:numId w:val="33"/>
        </w:numPr>
        <w:ind w:firstLineChars="0"/>
        <w:rPr>
          <w:lang w:val="en-US"/>
        </w:rPr>
      </w:pPr>
      <w:r>
        <w:rPr>
          <w:lang w:val="en-US"/>
        </w:rPr>
        <w:t>For subband CQI, 2-bit subband CQI relative to the 4-bit wideband CQI is used for each applicable CW(s)</w:t>
      </w:r>
    </w:p>
    <w:p w14:paraId="3A50582D" w14:textId="25890573" w:rsidR="003D33DE" w:rsidRDefault="00C24BDB" w:rsidP="00C24BDB">
      <w:pPr>
        <w:pStyle w:val="maintext"/>
        <w:ind w:firstLineChars="0" w:firstLine="450"/>
        <w:rPr>
          <w:lang w:val="en-US"/>
        </w:rPr>
      </w:pPr>
      <w:r>
        <w:rPr>
          <w:lang w:val="en-US"/>
        </w:rPr>
        <w:t xml:space="preserve">For NR, </w:t>
      </w:r>
      <w:r w:rsidR="003D33DE">
        <w:rPr>
          <w:lang w:val="en-US"/>
        </w:rPr>
        <w:t>the following design principles can be used to determine the required bit-width</w:t>
      </w:r>
      <w:r w:rsidR="00BE31A1">
        <w:rPr>
          <w:lang w:val="en-US"/>
        </w:rPr>
        <w:t xml:space="preserve"> for </w:t>
      </w:r>
      <w:r w:rsidR="00BE31A1" w:rsidRPr="00BE31A1">
        <w:rPr>
          <w:u w:val="single"/>
          <w:lang w:val="en-US"/>
        </w:rPr>
        <w:t>base CQI</w:t>
      </w:r>
      <w:r w:rsidR="003D33DE">
        <w:rPr>
          <w:lang w:val="en-US"/>
        </w:rPr>
        <w:t>:</w:t>
      </w:r>
    </w:p>
    <w:p w14:paraId="6521ACCA" w14:textId="77777777" w:rsidR="003D33DE" w:rsidRDefault="003D33DE" w:rsidP="003D33DE">
      <w:pPr>
        <w:pStyle w:val="maintext"/>
        <w:numPr>
          <w:ilvl w:val="0"/>
          <w:numId w:val="34"/>
        </w:numPr>
        <w:ind w:firstLineChars="0"/>
        <w:rPr>
          <w:lang w:val="en-US"/>
        </w:rPr>
      </w:pPr>
      <w:r>
        <w:rPr>
          <w:lang w:val="en-US"/>
        </w:rPr>
        <w:t xml:space="preserve">In many deployment scenarios (such as homogeneous macro/micro-cell networks), network performance is typically interference-limited just as the case for LTE. Therefore, there is no strong reason to significantly depart from LTE design principle. In this case, the highest modulation order assigned for DL transmission is expected to be 64QAM. </w:t>
      </w:r>
    </w:p>
    <w:p w14:paraId="72061C29" w14:textId="44179445" w:rsidR="00C24BDB" w:rsidRDefault="003D33DE" w:rsidP="003D33DE">
      <w:pPr>
        <w:pStyle w:val="maintext"/>
        <w:numPr>
          <w:ilvl w:val="0"/>
          <w:numId w:val="34"/>
        </w:numPr>
        <w:ind w:firstLineChars="0"/>
        <w:rPr>
          <w:lang w:val="en-US"/>
        </w:rPr>
      </w:pPr>
      <w:r>
        <w:rPr>
          <w:lang w:val="en-US"/>
        </w:rPr>
        <w:t xml:space="preserve">In some scenarios (such as small-cells with interference coordination or COMP), significantly improved geometry distribution can occur (as inter-cell interference is lessened). In this case, the highest modulation order assigned for DL transmission is expected to be 256QAM. </w:t>
      </w:r>
      <w:r w:rsidR="00C56CE5">
        <w:rPr>
          <w:lang w:val="en-US"/>
        </w:rPr>
        <w:t>When inter-cell interference is lower</w:t>
      </w:r>
      <w:r>
        <w:rPr>
          <w:lang w:val="en-US"/>
        </w:rPr>
        <w:t xml:space="preserve">, the network may </w:t>
      </w:r>
      <w:r w:rsidR="00C56CE5">
        <w:rPr>
          <w:lang w:val="en-US"/>
        </w:rPr>
        <w:t>also</w:t>
      </w:r>
      <w:r>
        <w:rPr>
          <w:lang w:val="en-US"/>
        </w:rPr>
        <w:t xml:space="preserve"> benefit from higher-resolution CSI</w:t>
      </w:r>
      <w:r w:rsidR="00C56CE5">
        <w:rPr>
          <w:lang w:val="en-US"/>
        </w:rPr>
        <w:t xml:space="preserve"> (which can be supported</w:t>
      </w:r>
      <w:r w:rsidR="00B33353">
        <w:rPr>
          <w:lang w:val="en-US"/>
        </w:rPr>
        <w:t>, e.g.</w:t>
      </w:r>
      <w:r w:rsidR="00C56CE5">
        <w:rPr>
          <w:lang w:val="en-US"/>
        </w:rPr>
        <w:t xml:space="preserve"> by adding 1 more bit)</w:t>
      </w:r>
      <w:r>
        <w:rPr>
          <w:lang w:val="en-US"/>
        </w:rPr>
        <w:t xml:space="preserve">.  </w:t>
      </w:r>
    </w:p>
    <w:p w14:paraId="5A82DCFD" w14:textId="647A0F4B" w:rsidR="003D33DE" w:rsidRDefault="00BE31A1" w:rsidP="003D33DE">
      <w:pPr>
        <w:pStyle w:val="maintext"/>
        <w:numPr>
          <w:ilvl w:val="0"/>
          <w:numId w:val="34"/>
        </w:numPr>
        <w:ind w:firstLineChars="0"/>
        <w:rPr>
          <w:lang w:val="en-US"/>
        </w:rPr>
      </w:pPr>
      <w:r>
        <w:rPr>
          <w:lang w:val="en-US"/>
        </w:rPr>
        <w:t xml:space="preserve">Support for CQI with reduced bit-width can also be beneficial considering the diverse use cases and deployment scenarios. For example, with low-cost UEs where higher-order QAM modulation is inapplicable, 2-bit or 3-bit base CQI is beneficial for reducing feedback overhead and hence unnecessary UL control resource usage.     </w:t>
      </w:r>
    </w:p>
    <w:p w14:paraId="6603648C" w14:textId="49F61AEC" w:rsidR="00D84F91" w:rsidRDefault="00BE31A1" w:rsidP="00D84F91">
      <w:pPr>
        <w:pStyle w:val="maintext"/>
        <w:ind w:firstLineChars="0" w:firstLine="450"/>
        <w:rPr>
          <w:lang w:val="en-US"/>
        </w:rPr>
      </w:pPr>
      <w:r>
        <w:rPr>
          <w:lang w:val="en-US"/>
        </w:rPr>
        <w:t xml:space="preserve">Overall, NR can benefit from a more flexible base CQI bit-width or, in general, </w:t>
      </w:r>
      <w:r w:rsidR="0043205C">
        <w:rPr>
          <w:lang w:val="en-US"/>
        </w:rPr>
        <w:t>base CQI table (i.e. for a given bit-width, several mapping schemes between CQI code points and spectral efficiencies.</w:t>
      </w:r>
      <w:r w:rsidR="00433063">
        <w:rPr>
          <w:lang w:val="en-US"/>
        </w:rPr>
        <w:t xml:space="preserve"> But this aspect needs to be studied further. Considering the limited time available for Phase I (prior to December 2017), at least the</w:t>
      </w:r>
      <w:r w:rsidR="00D84F91">
        <w:rPr>
          <w:lang w:val="en-US"/>
        </w:rPr>
        <w:t xml:space="preserve"> three</w:t>
      </w:r>
      <w:r w:rsidR="00433063">
        <w:rPr>
          <w:lang w:val="en-US"/>
        </w:rPr>
        <w:t xml:space="preserve"> 4-bit CQI tables from LTE can be reused (for the maximum modulation of </w:t>
      </w:r>
      <w:r w:rsidR="00D84F91">
        <w:rPr>
          <w:lang w:val="en-US"/>
        </w:rPr>
        <w:t xml:space="preserve">16QAM, </w:t>
      </w:r>
      <w:r w:rsidR="00433063">
        <w:rPr>
          <w:lang w:val="en-US"/>
        </w:rPr>
        <w:t>64QAM</w:t>
      </w:r>
      <w:r w:rsidR="00D84F91">
        <w:rPr>
          <w:lang w:val="en-US"/>
        </w:rPr>
        <w:t>,</w:t>
      </w:r>
      <w:r w:rsidR="00433063">
        <w:rPr>
          <w:lang w:val="en-US"/>
        </w:rPr>
        <w:t xml:space="preserve"> and 256QAM).</w:t>
      </w:r>
      <w:r w:rsidR="00D84F91">
        <w:rPr>
          <w:lang w:val="en-US"/>
        </w:rPr>
        <w:t xml:space="preserve"> In the Appendix, it is demonstrated that the first two 4-bit CQI tables from LTE offer reasonably desirable characteristics.</w:t>
      </w:r>
      <w:r w:rsidR="00433063">
        <w:rPr>
          <w:lang w:val="en-US"/>
        </w:rPr>
        <w:t xml:space="preserve">  </w:t>
      </w:r>
      <w:r w:rsidR="00626226">
        <w:rPr>
          <w:lang w:val="en-US"/>
        </w:rPr>
        <w:t xml:space="preserve"> </w:t>
      </w:r>
      <w:r w:rsidR="0043205C">
        <w:rPr>
          <w:lang w:val="en-US"/>
        </w:rPr>
        <w:t xml:space="preserve"> </w:t>
      </w:r>
    </w:p>
    <w:p w14:paraId="4601C9EC" w14:textId="77777777" w:rsidR="00BE31A1" w:rsidRPr="00BE31A1" w:rsidRDefault="00BE31A1" w:rsidP="00A208A1">
      <w:pPr>
        <w:pStyle w:val="maintext"/>
        <w:ind w:firstLineChars="0" w:firstLine="0"/>
        <w:rPr>
          <w:lang w:val="en-US"/>
        </w:rPr>
      </w:pPr>
    </w:p>
    <w:p w14:paraId="2577F579" w14:textId="77777777" w:rsidR="007B4BAB" w:rsidRDefault="00AF5419" w:rsidP="00A208A1">
      <w:pPr>
        <w:pStyle w:val="maintext"/>
        <w:ind w:firstLineChars="0" w:firstLine="0"/>
        <w:rPr>
          <w:i/>
          <w:lang w:val="en-US"/>
        </w:rPr>
      </w:pPr>
      <w:r w:rsidRPr="00AF5419">
        <w:rPr>
          <w:b/>
          <w:u w:val="single"/>
          <w:lang w:val="en-US"/>
        </w:rPr>
        <w:t>Proposal</w:t>
      </w:r>
      <w:r>
        <w:rPr>
          <w:i/>
          <w:lang w:val="en-US"/>
        </w:rPr>
        <w:t xml:space="preserve">: </w:t>
      </w:r>
    </w:p>
    <w:p w14:paraId="2C65033B" w14:textId="53356175" w:rsidR="007B4BAB" w:rsidRDefault="007B4BAB" w:rsidP="007B4BAB">
      <w:pPr>
        <w:pStyle w:val="maintext"/>
        <w:numPr>
          <w:ilvl w:val="0"/>
          <w:numId w:val="35"/>
        </w:numPr>
        <w:ind w:firstLineChars="0"/>
        <w:rPr>
          <w:i/>
          <w:lang w:val="en-US"/>
        </w:rPr>
      </w:pPr>
      <w:r>
        <w:rPr>
          <w:i/>
          <w:lang w:val="en-US"/>
        </w:rPr>
        <w:t>CQI definition follows that of LTE, i.e. recommended spectral efficiency under a similar constraint (e.g. 10% BLER within a pre-defined observation interval)</w:t>
      </w:r>
    </w:p>
    <w:p w14:paraId="714B170C" w14:textId="569C47CA" w:rsidR="00824384" w:rsidRPr="00824384" w:rsidRDefault="00E97451" w:rsidP="00824384">
      <w:pPr>
        <w:pStyle w:val="maintext"/>
        <w:numPr>
          <w:ilvl w:val="0"/>
          <w:numId w:val="35"/>
        </w:numPr>
        <w:ind w:firstLineChars="0"/>
        <w:rPr>
          <w:i/>
          <w:lang w:val="en-US"/>
        </w:rPr>
      </w:pPr>
      <w:r>
        <w:rPr>
          <w:i/>
          <w:lang w:val="en-US"/>
        </w:rPr>
        <w:t xml:space="preserve">At least 4-bit base CQI </w:t>
      </w:r>
      <w:r w:rsidR="00824384">
        <w:rPr>
          <w:i/>
          <w:lang w:val="en-US"/>
        </w:rPr>
        <w:t xml:space="preserve">based on </w:t>
      </w:r>
      <w:r w:rsidR="00AB0F84">
        <w:rPr>
          <w:i/>
          <w:lang w:val="en-US"/>
        </w:rPr>
        <w:t xml:space="preserve">the </w:t>
      </w:r>
      <w:r w:rsidR="00D84F91">
        <w:rPr>
          <w:i/>
          <w:lang w:val="en-US"/>
        </w:rPr>
        <w:t xml:space="preserve">three </w:t>
      </w:r>
      <w:r w:rsidR="00824384">
        <w:rPr>
          <w:i/>
          <w:lang w:val="en-US"/>
        </w:rPr>
        <w:t xml:space="preserve">LTE </w:t>
      </w:r>
      <w:r w:rsidR="00D84F91">
        <w:rPr>
          <w:i/>
          <w:lang w:val="en-US"/>
        </w:rPr>
        <w:t xml:space="preserve">4-bit </w:t>
      </w:r>
      <w:r w:rsidR="00824384">
        <w:rPr>
          <w:i/>
          <w:lang w:val="en-US"/>
        </w:rPr>
        <w:t>CQI tables (</w:t>
      </w:r>
      <w:r w:rsidR="00433063">
        <w:rPr>
          <w:i/>
          <w:lang w:val="en-US"/>
        </w:rPr>
        <w:t>Table</w:t>
      </w:r>
      <w:r w:rsidR="00824384">
        <w:rPr>
          <w:i/>
          <w:lang w:val="en-US"/>
        </w:rPr>
        <w:t xml:space="preserve"> </w:t>
      </w:r>
      <w:r w:rsidR="00AB0F84">
        <w:rPr>
          <w:i/>
          <w:lang w:val="en-US"/>
        </w:rPr>
        <w:t>7.2.3-1</w:t>
      </w:r>
      <w:r w:rsidR="00D84F91">
        <w:rPr>
          <w:i/>
          <w:lang w:val="en-US"/>
        </w:rPr>
        <w:t xml:space="preserve">, 7.2.3-2, </w:t>
      </w:r>
      <w:r w:rsidR="00824384">
        <w:rPr>
          <w:i/>
          <w:lang w:val="en-US"/>
        </w:rPr>
        <w:t xml:space="preserve">and </w:t>
      </w:r>
      <w:r w:rsidR="00D84F91">
        <w:rPr>
          <w:i/>
          <w:lang w:val="en-US"/>
        </w:rPr>
        <w:t>7.2.3-3</w:t>
      </w:r>
      <w:r w:rsidR="00AB0F84">
        <w:rPr>
          <w:i/>
          <w:lang w:val="en-US"/>
        </w:rPr>
        <w:t xml:space="preserve"> </w:t>
      </w:r>
      <w:r w:rsidR="00824384">
        <w:rPr>
          <w:i/>
          <w:lang w:val="en-US"/>
        </w:rPr>
        <w:t xml:space="preserve">in TS36.213) </w:t>
      </w:r>
      <w:r>
        <w:rPr>
          <w:i/>
          <w:lang w:val="en-US"/>
        </w:rPr>
        <w:t xml:space="preserve">is supported </w:t>
      </w:r>
    </w:p>
    <w:p w14:paraId="124A21B6" w14:textId="3AAEFBEC" w:rsidR="00AF5419" w:rsidRPr="00E97451" w:rsidRDefault="00E97451" w:rsidP="00E97451">
      <w:pPr>
        <w:pStyle w:val="maintext"/>
        <w:numPr>
          <w:ilvl w:val="1"/>
          <w:numId w:val="35"/>
        </w:numPr>
        <w:ind w:firstLineChars="0"/>
        <w:rPr>
          <w:i/>
          <w:lang w:val="en-US"/>
        </w:rPr>
      </w:pPr>
      <w:r>
        <w:rPr>
          <w:i/>
          <w:lang w:val="en-US"/>
        </w:rPr>
        <w:t xml:space="preserve">Investigate the benefits of supporting </w:t>
      </w:r>
      <w:r w:rsidR="00433063">
        <w:rPr>
          <w:i/>
          <w:lang w:val="en-US"/>
        </w:rPr>
        <w:t>additional</w:t>
      </w:r>
      <w:r>
        <w:rPr>
          <w:i/>
          <w:lang w:val="en-US"/>
        </w:rPr>
        <w:t xml:space="preserve"> CQI table</w:t>
      </w:r>
      <w:r w:rsidR="00433063">
        <w:rPr>
          <w:i/>
          <w:lang w:val="en-US"/>
        </w:rPr>
        <w:t>s</w:t>
      </w:r>
      <w:r>
        <w:rPr>
          <w:i/>
          <w:lang w:val="en-US"/>
        </w:rPr>
        <w:t xml:space="preserve"> and the extent of such configurability (e.g. bit-width, mapping between code points and spectral efficiencies for a given bit-width), for example, </w:t>
      </w:r>
      <w:r w:rsidR="00D84F91">
        <w:rPr>
          <w:i/>
          <w:lang w:val="en-US"/>
        </w:rPr>
        <w:t>3</w:t>
      </w:r>
      <w:r w:rsidRPr="00E97451">
        <w:rPr>
          <w:i/>
          <w:lang w:val="en-US"/>
        </w:rPr>
        <w:t xml:space="preserve">-bit and 5-bit base CQI </w:t>
      </w:r>
      <w:r w:rsidR="00147657" w:rsidRPr="00E97451">
        <w:rPr>
          <w:i/>
          <w:lang w:val="en-US"/>
        </w:rPr>
        <w:t xml:space="preserve"> </w:t>
      </w:r>
      <w:r w:rsidR="0043205C" w:rsidRPr="00E97451">
        <w:rPr>
          <w:i/>
          <w:lang w:val="en-US"/>
        </w:rPr>
        <w:t xml:space="preserve"> </w:t>
      </w:r>
      <w:r w:rsidR="00C56CE5" w:rsidRPr="00E97451">
        <w:rPr>
          <w:i/>
          <w:lang w:val="en-US"/>
        </w:rPr>
        <w:t xml:space="preserve"> </w:t>
      </w:r>
    </w:p>
    <w:p w14:paraId="7C0641D6" w14:textId="77777777" w:rsidR="008E0B25" w:rsidRDefault="008E0B25" w:rsidP="00A208A1">
      <w:pPr>
        <w:pStyle w:val="maintext"/>
        <w:ind w:firstLineChars="0" w:firstLine="0"/>
        <w:rPr>
          <w:i/>
          <w:lang w:val="en-US"/>
        </w:rPr>
      </w:pPr>
    </w:p>
    <w:p w14:paraId="1CB2B9CA" w14:textId="0DF8804D" w:rsidR="003F54E6" w:rsidRPr="00D118C0" w:rsidRDefault="00C154C4" w:rsidP="003F54E6">
      <w:pPr>
        <w:pStyle w:val="maintext"/>
        <w:ind w:firstLineChars="0" w:firstLine="450"/>
        <w:rPr>
          <w:lang w:val="en-US"/>
        </w:rPr>
      </w:pPr>
      <w:r>
        <w:rPr>
          <w:lang w:val="en-US"/>
        </w:rPr>
        <w:t>For example</w:t>
      </w:r>
      <w:r w:rsidR="003F54E6" w:rsidRPr="00D118C0">
        <w:rPr>
          <w:rFonts w:hint="eastAsia"/>
          <w:lang w:val="en-US"/>
        </w:rPr>
        <w:t>, s</w:t>
      </w:r>
      <w:r w:rsidR="003F54E6" w:rsidRPr="00D118C0">
        <w:rPr>
          <w:lang w:val="en-US"/>
        </w:rPr>
        <w:t>ervice</w:t>
      </w:r>
      <w:r>
        <w:rPr>
          <w:lang w:val="en-US"/>
        </w:rPr>
        <w:t>-specific</w:t>
      </w:r>
      <w:r w:rsidR="003F54E6" w:rsidRPr="00D118C0">
        <w:rPr>
          <w:lang w:val="en-US"/>
        </w:rPr>
        <w:t xml:space="preserve"> CQI </w:t>
      </w:r>
      <w:r w:rsidR="003F54E6" w:rsidRPr="00D118C0">
        <w:rPr>
          <w:rFonts w:hint="eastAsia"/>
          <w:lang w:val="en-US"/>
        </w:rPr>
        <w:t xml:space="preserve">should be </w:t>
      </w:r>
      <w:r w:rsidR="003F54E6" w:rsidRPr="00D118C0">
        <w:rPr>
          <w:lang w:val="en-US"/>
        </w:rPr>
        <w:t>considered</w:t>
      </w:r>
      <w:r>
        <w:rPr>
          <w:lang w:val="en-US"/>
        </w:rPr>
        <w:t xml:space="preserve"> which involves transmission aspects such as</w:t>
      </w:r>
      <w:r w:rsidR="003F54E6" w:rsidRPr="00D118C0">
        <w:rPr>
          <w:lang w:val="en-US"/>
        </w:rPr>
        <w:t xml:space="preserve"> </w:t>
      </w:r>
      <w:r>
        <w:rPr>
          <w:lang w:val="en-US"/>
        </w:rPr>
        <w:t>MCS</w:t>
      </w:r>
      <w:r w:rsidR="003F54E6" w:rsidRPr="00D118C0">
        <w:rPr>
          <w:lang w:val="en-US"/>
        </w:rPr>
        <w:t xml:space="preserve"> and multi-layer transmission </w:t>
      </w:r>
      <w:r>
        <w:rPr>
          <w:lang w:val="en-US"/>
        </w:rPr>
        <w:t xml:space="preserve">– aimed for </w:t>
      </w:r>
      <w:r w:rsidR="003F54E6" w:rsidRPr="00D118C0">
        <w:rPr>
          <w:lang w:val="en-US"/>
        </w:rPr>
        <w:t xml:space="preserve">high reliability. Since </w:t>
      </w:r>
      <w:r>
        <w:rPr>
          <w:lang w:val="en-US"/>
        </w:rPr>
        <w:t xml:space="preserve">transmission with </w:t>
      </w:r>
      <w:r w:rsidR="003F54E6" w:rsidRPr="00D118C0">
        <w:rPr>
          <w:lang w:val="en-US"/>
        </w:rPr>
        <w:t xml:space="preserve">high rank transmission and higher </w:t>
      </w:r>
      <w:r>
        <w:rPr>
          <w:lang w:val="en-US"/>
        </w:rPr>
        <w:t xml:space="preserve">order </w:t>
      </w:r>
      <w:r w:rsidR="003F54E6" w:rsidRPr="00D118C0">
        <w:rPr>
          <w:lang w:val="en-US"/>
        </w:rPr>
        <w:t xml:space="preserve">modulation (256QAM and 1024QAM) cannot </w:t>
      </w:r>
      <w:r>
        <w:rPr>
          <w:lang w:val="en-US"/>
        </w:rPr>
        <w:t xml:space="preserve">attain </w:t>
      </w:r>
      <w:r w:rsidR="003F54E6" w:rsidRPr="00D118C0">
        <w:rPr>
          <w:lang w:val="en-US"/>
        </w:rPr>
        <w:t xml:space="preserve">high reliability, </w:t>
      </w:r>
      <w:r>
        <w:rPr>
          <w:lang w:val="en-US"/>
        </w:rPr>
        <w:t>rank and modulation order</w:t>
      </w:r>
      <w:r w:rsidR="00223DDF">
        <w:rPr>
          <w:lang w:val="en-US"/>
        </w:rPr>
        <w:t xml:space="preserve"> restriction</w:t>
      </w:r>
      <w:r w:rsidR="003F54E6" w:rsidRPr="00D118C0">
        <w:rPr>
          <w:lang w:val="en-US"/>
        </w:rPr>
        <w:t xml:space="preserve"> will </w:t>
      </w:r>
      <w:r>
        <w:rPr>
          <w:lang w:val="en-US"/>
        </w:rPr>
        <w:t xml:space="preserve">improve </w:t>
      </w:r>
      <w:r w:rsidR="003F54E6" w:rsidRPr="00D118C0">
        <w:rPr>
          <w:rFonts w:hint="eastAsia"/>
          <w:lang w:val="en-US"/>
        </w:rPr>
        <w:t xml:space="preserve">performance and </w:t>
      </w:r>
      <w:r>
        <w:rPr>
          <w:lang w:val="en-US"/>
        </w:rPr>
        <w:t>CSI reporting efficiency</w:t>
      </w:r>
      <w:r w:rsidR="003F54E6" w:rsidRPr="00D118C0">
        <w:rPr>
          <w:lang w:val="en-US"/>
        </w:rPr>
        <w:t xml:space="preserve">. </w:t>
      </w:r>
      <w:r w:rsidR="003F54E6" w:rsidRPr="00D118C0">
        <w:rPr>
          <w:rFonts w:hint="eastAsia"/>
          <w:lang w:val="en-US"/>
        </w:rPr>
        <w:t xml:space="preserve">Moreover, different </w:t>
      </w:r>
      <w:r w:rsidR="003F54E6" w:rsidRPr="00D118C0">
        <w:rPr>
          <w:lang w:val="en-US"/>
        </w:rPr>
        <w:t xml:space="preserve">reliability requirements </w:t>
      </w:r>
      <w:r>
        <w:rPr>
          <w:lang w:val="en-US"/>
        </w:rPr>
        <w:t>for</w:t>
      </w:r>
      <w:r w:rsidR="003F54E6" w:rsidRPr="00D118C0">
        <w:rPr>
          <w:lang w:val="en-US"/>
        </w:rPr>
        <w:t xml:space="preserve"> URLLC</w:t>
      </w:r>
      <w:r w:rsidR="003F54E6" w:rsidRPr="00D118C0">
        <w:rPr>
          <w:rFonts w:hint="eastAsia"/>
          <w:lang w:val="en-US"/>
        </w:rPr>
        <w:t xml:space="preserve"> (i.e.1 </w:t>
      </w:r>
      <w:r w:rsidR="003F54E6" w:rsidRPr="00D118C0">
        <w:rPr>
          <w:lang w:val="en-US"/>
        </w:rPr>
        <w:t>–</w:t>
      </w:r>
      <w:r w:rsidR="003F54E6" w:rsidRPr="00D118C0">
        <w:rPr>
          <w:rFonts w:hint="eastAsia"/>
          <w:lang w:val="en-US"/>
        </w:rPr>
        <w:t xml:space="preserve"> 10</w:t>
      </w:r>
      <w:r w:rsidRPr="00C154C4">
        <w:rPr>
          <w:vertAlign w:val="superscript"/>
          <w:lang w:val="en-US"/>
        </w:rPr>
        <w:t>–1</w:t>
      </w:r>
      <w:r w:rsidR="003F54E6" w:rsidRPr="00D118C0">
        <w:rPr>
          <w:rFonts w:hint="eastAsia"/>
          <w:lang w:val="en-US"/>
        </w:rPr>
        <w:t>)</w:t>
      </w:r>
      <w:r w:rsidR="003F54E6" w:rsidRPr="00D118C0">
        <w:rPr>
          <w:lang w:val="en-US"/>
        </w:rPr>
        <w:t xml:space="preserve"> and eMBB </w:t>
      </w:r>
      <w:r w:rsidR="003F54E6" w:rsidRPr="00D118C0">
        <w:rPr>
          <w:rFonts w:hint="eastAsia"/>
          <w:lang w:val="en-US"/>
        </w:rPr>
        <w:t xml:space="preserve">(i.e.1 </w:t>
      </w:r>
      <w:r w:rsidR="003F54E6" w:rsidRPr="00D118C0">
        <w:rPr>
          <w:lang w:val="en-US"/>
        </w:rPr>
        <w:t>–</w:t>
      </w:r>
      <w:r w:rsidR="003F54E6" w:rsidRPr="00D118C0">
        <w:rPr>
          <w:rFonts w:hint="eastAsia"/>
          <w:lang w:val="en-US"/>
        </w:rPr>
        <w:t xml:space="preserve"> 10</w:t>
      </w:r>
      <w:r>
        <w:rPr>
          <w:lang w:val="en-US"/>
        </w:rPr>
        <w:t xml:space="preserve"> </w:t>
      </w:r>
      <w:r w:rsidRPr="00C154C4">
        <w:rPr>
          <w:vertAlign w:val="superscript"/>
          <w:lang w:val="en-US"/>
        </w:rPr>
        <w:t>–5</w:t>
      </w:r>
      <w:r w:rsidR="003F54E6" w:rsidRPr="00D118C0">
        <w:rPr>
          <w:rFonts w:hint="eastAsia"/>
          <w:lang w:val="en-US"/>
        </w:rPr>
        <w:t xml:space="preserve">) should be considered to provide more accurate </w:t>
      </w:r>
      <w:r>
        <w:rPr>
          <w:lang w:val="en-US"/>
        </w:rPr>
        <w:t>CSI</w:t>
      </w:r>
      <w:r w:rsidR="003F54E6" w:rsidRPr="00D118C0">
        <w:rPr>
          <w:rFonts w:hint="eastAsia"/>
          <w:lang w:val="en-US"/>
        </w:rPr>
        <w:t xml:space="preserve"> to gNB</w:t>
      </w:r>
      <w:r w:rsidR="003F54E6" w:rsidRPr="00D118C0">
        <w:rPr>
          <w:lang w:val="en-US"/>
        </w:rPr>
        <w:t>. In addition</w:t>
      </w:r>
      <w:r w:rsidR="003F54E6" w:rsidRPr="00D118C0">
        <w:rPr>
          <w:rFonts w:hint="eastAsia"/>
          <w:lang w:val="en-US"/>
        </w:rPr>
        <w:t xml:space="preserve">, different numerology can </w:t>
      </w:r>
      <w:r w:rsidR="003F54E6" w:rsidRPr="00D118C0">
        <w:rPr>
          <w:rFonts w:hint="eastAsia"/>
          <w:lang w:val="en-US"/>
        </w:rPr>
        <w:lastRenderedPageBreak/>
        <w:t xml:space="preserve">be another aspect to be considered for CQI reporting since larger subcarrier spacing can provide more robustness to high mobility. </w:t>
      </w:r>
      <w:r w:rsidR="003F54E6">
        <w:rPr>
          <w:rFonts w:hint="eastAsia"/>
          <w:lang w:val="en-US"/>
        </w:rPr>
        <w:t>More details are provided in the companion contribution [2].</w:t>
      </w:r>
    </w:p>
    <w:p w14:paraId="0F8E3ECC" w14:textId="77777777" w:rsidR="003F54E6" w:rsidRDefault="003F54E6" w:rsidP="003F54E6">
      <w:pPr>
        <w:pStyle w:val="maintext"/>
        <w:ind w:firstLineChars="0" w:firstLine="0"/>
        <w:rPr>
          <w:i/>
        </w:rPr>
      </w:pPr>
    </w:p>
    <w:p w14:paraId="5F0BC55D" w14:textId="77777777" w:rsidR="003F54E6" w:rsidRPr="00D118C0" w:rsidRDefault="003F54E6" w:rsidP="003F54E6">
      <w:pPr>
        <w:pStyle w:val="maintext"/>
        <w:ind w:firstLineChars="0" w:firstLine="0"/>
        <w:rPr>
          <w:b/>
          <w:u w:val="single"/>
          <w:lang w:val="en-US"/>
        </w:rPr>
      </w:pPr>
      <w:r w:rsidRPr="00D118C0">
        <w:rPr>
          <w:b/>
          <w:u w:val="single"/>
          <w:lang w:val="en-US"/>
        </w:rPr>
        <w:t>Proposal</w:t>
      </w:r>
      <w:r w:rsidRPr="00D118C0">
        <w:rPr>
          <w:rFonts w:hint="eastAsia"/>
          <w:b/>
          <w:u w:val="single"/>
          <w:lang w:val="en-US"/>
        </w:rPr>
        <w:t xml:space="preserve">: </w:t>
      </w:r>
    </w:p>
    <w:p w14:paraId="619F75E5" w14:textId="2C85B943" w:rsidR="003F54E6" w:rsidRDefault="003F54E6" w:rsidP="003F54E6">
      <w:pPr>
        <w:pStyle w:val="maintext"/>
        <w:numPr>
          <w:ilvl w:val="0"/>
          <w:numId w:val="35"/>
        </w:numPr>
        <w:ind w:firstLineChars="0"/>
        <w:rPr>
          <w:i/>
        </w:rPr>
      </w:pPr>
      <w:r w:rsidRPr="00D118C0">
        <w:rPr>
          <w:i/>
          <w:lang w:val="en-US"/>
        </w:rPr>
        <w:t xml:space="preserve">Support CSI reporting which is optimized to </w:t>
      </w:r>
      <w:r w:rsidR="00C154C4">
        <w:rPr>
          <w:i/>
          <w:lang w:val="en-US"/>
        </w:rPr>
        <w:t>certain</w:t>
      </w:r>
      <w:r w:rsidRPr="00D118C0">
        <w:rPr>
          <w:i/>
          <w:lang w:val="en-US"/>
        </w:rPr>
        <w:t xml:space="preserve"> use case</w:t>
      </w:r>
      <w:r w:rsidR="00C154C4">
        <w:rPr>
          <w:i/>
          <w:lang w:val="en-US"/>
        </w:rPr>
        <w:t>s such as</w:t>
      </w:r>
      <w:r w:rsidRPr="00D118C0">
        <w:rPr>
          <w:i/>
          <w:lang w:val="en-US"/>
        </w:rPr>
        <w:t>.</w:t>
      </w:r>
    </w:p>
    <w:p w14:paraId="3D7ACEB9" w14:textId="094C3F60" w:rsidR="003F54E6" w:rsidRPr="00D118C0" w:rsidRDefault="003F54E6" w:rsidP="003F54E6">
      <w:pPr>
        <w:pStyle w:val="maintext"/>
        <w:numPr>
          <w:ilvl w:val="1"/>
          <w:numId w:val="35"/>
        </w:numPr>
        <w:ind w:firstLineChars="0"/>
        <w:rPr>
          <w:i/>
          <w:lang w:val="en-US"/>
        </w:rPr>
      </w:pPr>
      <w:r w:rsidRPr="00D118C0">
        <w:rPr>
          <w:i/>
          <w:lang w:val="en-US"/>
        </w:rPr>
        <w:t xml:space="preserve">For high reliability services and low </w:t>
      </w:r>
      <w:r w:rsidR="00C154C4">
        <w:rPr>
          <w:i/>
          <w:lang w:val="en-US"/>
        </w:rPr>
        <w:t xml:space="preserve">cost </w:t>
      </w:r>
      <w:r w:rsidRPr="00D118C0">
        <w:rPr>
          <w:i/>
          <w:lang w:val="en-US"/>
        </w:rPr>
        <w:t>UE</w:t>
      </w:r>
      <w:r w:rsidR="00C154C4">
        <w:rPr>
          <w:i/>
          <w:lang w:val="en-US"/>
        </w:rPr>
        <w:t>,</w:t>
      </w:r>
      <w:r w:rsidRPr="00D118C0">
        <w:rPr>
          <w:i/>
          <w:lang w:val="en-US"/>
        </w:rPr>
        <w:t>, support only Type I feedback.</w:t>
      </w:r>
    </w:p>
    <w:p w14:paraId="2B5964B4" w14:textId="21A92CEB" w:rsidR="003F54E6" w:rsidRPr="00D118C0" w:rsidRDefault="003F54E6" w:rsidP="003F54E6">
      <w:pPr>
        <w:pStyle w:val="maintext"/>
        <w:numPr>
          <w:ilvl w:val="1"/>
          <w:numId w:val="35"/>
        </w:numPr>
        <w:ind w:firstLineChars="0"/>
        <w:rPr>
          <w:i/>
          <w:lang w:val="en-US"/>
        </w:rPr>
      </w:pPr>
      <w:r w:rsidRPr="00D118C0">
        <w:rPr>
          <w:i/>
          <w:lang w:val="en-US"/>
        </w:rPr>
        <w:t xml:space="preserve">Support only wideband and partial band CSI for high reliability services and low </w:t>
      </w:r>
      <w:r w:rsidR="00C154C4">
        <w:rPr>
          <w:i/>
          <w:lang w:val="en-US"/>
        </w:rPr>
        <w:t xml:space="preserve">cost </w:t>
      </w:r>
      <w:r w:rsidRPr="00D118C0">
        <w:rPr>
          <w:i/>
          <w:lang w:val="en-US"/>
        </w:rPr>
        <w:t>UEs.</w:t>
      </w:r>
    </w:p>
    <w:p w14:paraId="1F790A89" w14:textId="722CFC33" w:rsidR="003F54E6" w:rsidRPr="00D118C0" w:rsidRDefault="003F54E6" w:rsidP="003F54E6">
      <w:pPr>
        <w:pStyle w:val="maintext"/>
        <w:numPr>
          <w:ilvl w:val="1"/>
          <w:numId w:val="35"/>
        </w:numPr>
        <w:ind w:firstLineChars="0"/>
        <w:rPr>
          <w:i/>
          <w:lang w:val="en-US"/>
        </w:rPr>
      </w:pPr>
      <w:r w:rsidRPr="00D118C0">
        <w:rPr>
          <w:rFonts w:hint="eastAsia"/>
          <w:i/>
          <w:lang w:val="en-US"/>
        </w:rPr>
        <w:t xml:space="preserve">Support </w:t>
      </w:r>
      <w:r w:rsidR="00C154C4">
        <w:rPr>
          <w:i/>
          <w:lang w:val="en-US"/>
        </w:rPr>
        <w:t xml:space="preserve">an additional </w:t>
      </w:r>
      <w:r w:rsidRPr="00D118C0">
        <w:rPr>
          <w:rFonts w:hint="eastAsia"/>
          <w:i/>
          <w:lang w:val="en-US"/>
        </w:rPr>
        <w:t>CQI table for high reliability services.</w:t>
      </w:r>
    </w:p>
    <w:p w14:paraId="0195E5A4" w14:textId="7C9C1F2B" w:rsidR="003F54E6" w:rsidRPr="00D118C0" w:rsidRDefault="00223DDF" w:rsidP="003F54E6">
      <w:pPr>
        <w:pStyle w:val="maintext"/>
        <w:numPr>
          <w:ilvl w:val="2"/>
          <w:numId w:val="35"/>
        </w:numPr>
        <w:ind w:firstLineChars="0"/>
        <w:rPr>
          <w:i/>
          <w:lang w:val="en-US"/>
        </w:rPr>
      </w:pPr>
      <w:r>
        <w:rPr>
          <w:i/>
        </w:rPr>
        <w:t>R</w:t>
      </w:r>
      <w:r w:rsidR="00C154C4">
        <w:rPr>
          <w:i/>
          <w:lang w:val="en-US"/>
        </w:rPr>
        <w:t xml:space="preserve">estriction </w:t>
      </w:r>
      <w:r w:rsidR="003F54E6" w:rsidRPr="00D118C0">
        <w:rPr>
          <w:rFonts w:hint="eastAsia"/>
          <w:i/>
          <w:lang w:val="en-US"/>
        </w:rPr>
        <w:t>on</w:t>
      </w:r>
      <w:r w:rsidR="00C154C4">
        <w:rPr>
          <w:i/>
          <w:lang w:val="en-US"/>
        </w:rPr>
        <w:t xml:space="preserve"> MCS and</w:t>
      </w:r>
      <w:r w:rsidR="003F54E6" w:rsidRPr="00D118C0">
        <w:rPr>
          <w:rFonts w:hint="eastAsia"/>
          <w:i/>
          <w:lang w:val="en-US"/>
        </w:rPr>
        <w:t xml:space="preserve"> rank </w:t>
      </w:r>
      <w:r w:rsidR="003F54E6" w:rsidRPr="00D118C0">
        <w:rPr>
          <w:i/>
          <w:lang w:val="en-US"/>
        </w:rPr>
        <w:t>for efficient UE feedback.</w:t>
      </w:r>
    </w:p>
    <w:p w14:paraId="6E977D12" w14:textId="0C64A77D" w:rsidR="003F54E6" w:rsidRPr="00D118C0" w:rsidRDefault="003F54E6" w:rsidP="003F54E6">
      <w:pPr>
        <w:pStyle w:val="maintext"/>
        <w:numPr>
          <w:ilvl w:val="2"/>
          <w:numId w:val="35"/>
        </w:numPr>
        <w:ind w:firstLineChars="0"/>
        <w:rPr>
          <w:i/>
          <w:lang w:val="en-US"/>
        </w:rPr>
      </w:pPr>
      <w:r w:rsidRPr="00D118C0">
        <w:rPr>
          <w:i/>
          <w:lang w:val="en-US"/>
        </w:rPr>
        <w:t>CQI targeted to high reliability</w:t>
      </w:r>
      <w:r w:rsidRPr="00D118C0">
        <w:rPr>
          <w:rFonts w:hint="eastAsia"/>
          <w:i/>
          <w:lang w:val="en-US"/>
        </w:rPr>
        <w:t xml:space="preserve"> and configured numerology</w:t>
      </w:r>
      <w:r w:rsidRPr="00D118C0">
        <w:rPr>
          <w:i/>
          <w:lang w:val="en-US"/>
        </w:rPr>
        <w:t>.</w:t>
      </w:r>
    </w:p>
    <w:p w14:paraId="13A78555" w14:textId="77777777" w:rsidR="003F54E6" w:rsidRPr="003F54E6" w:rsidRDefault="003F54E6" w:rsidP="00A208A1">
      <w:pPr>
        <w:pStyle w:val="maintext"/>
        <w:ind w:firstLineChars="0" w:firstLine="0"/>
        <w:rPr>
          <w:i/>
          <w:lang w:val="en-US"/>
        </w:rPr>
      </w:pPr>
    </w:p>
    <w:p w14:paraId="18B248F2" w14:textId="77777777" w:rsidR="003D3E2E" w:rsidRPr="000C035A" w:rsidRDefault="003D3E2E" w:rsidP="002958FD">
      <w:pPr>
        <w:pStyle w:val="Heading1"/>
        <w:rPr>
          <w:sz w:val="28"/>
          <w:lang w:val="en-US"/>
        </w:rPr>
      </w:pPr>
      <w:bookmarkStart w:id="2" w:name="_Ref446598642"/>
      <w:r w:rsidRPr="000C035A">
        <w:rPr>
          <w:sz w:val="28"/>
          <w:lang w:val="en-US"/>
        </w:rPr>
        <w:t>Conclusions</w:t>
      </w:r>
      <w:bookmarkEnd w:id="2"/>
    </w:p>
    <w:p w14:paraId="1EBEF89C" w14:textId="31FDFB46" w:rsidR="000C035A" w:rsidRPr="00836647" w:rsidRDefault="00E468B7" w:rsidP="000C035A">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083A21" w:rsidRPr="00836647">
        <w:rPr>
          <w:lang w:val="en-US" w:eastAsia="ko-KR"/>
        </w:rPr>
        <w:t>further details on</w:t>
      </w:r>
      <w:r w:rsidRPr="00836647">
        <w:rPr>
          <w:lang w:val="en-US" w:eastAsia="ko-KR"/>
        </w:rPr>
        <w:t xml:space="preserve"> </w:t>
      </w:r>
      <w:r w:rsidR="003518D4" w:rsidRPr="00836647">
        <w:rPr>
          <w:lang w:val="en-US" w:eastAsia="ko-KR"/>
        </w:rPr>
        <w:t xml:space="preserve">DL CSI acquisition framework for NR </w:t>
      </w:r>
      <w:r w:rsidR="00083A21" w:rsidRPr="00836647">
        <w:rPr>
          <w:lang w:val="en-US" w:eastAsia="ko-KR"/>
        </w:rPr>
        <w:t xml:space="preserve">are </w:t>
      </w:r>
      <w:r w:rsidR="00083A21" w:rsidRPr="000C035A">
        <w:rPr>
          <w:b/>
          <w:u w:val="single"/>
          <w:lang w:val="en-US" w:eastAsia="ko-KR"/>
        </w:rPr>
        <w:t>proposed</w:t>
      </w:r>
      <w:r w:rsidR="000C035A">
        <w:rPr>
          <w:lang w:val="en-US" w:eastAsia="ko-KR"/>
        </w:rPr>
        <w:t>:</w:t>
      </w:r>
    </w:p>
    <w:p w14:paraId="353A6FEC" w14:textId="50BAFCB0" w:rsidR="0050422F" w:rsidRDefault="00E97451" w:rsidP="00E97451">
      <w:pPr>
        <w:pStyle w:val="ListParagraph"/>
        <w:numPr>
          <w:ilvl w:val="0"/>
          <w:numId w:val="36"/>
        </w:numPr>
        <w:ind w:leftChars="0"/>
        <w:rPr>
          <w:i/>
          <w:lang w:val="en-US"/>
        </w:rPr>
      </w:pPr>
      <w:r w:rsidRPr="00E97451">
        <w:rPr>
          <w:i/>
          <w:lang w:val="en-US"/>
        </w:rPr>
        <w:t>Support the same CSI calculation ordering as that for LTE: CRI (highest priority)</w:t>
      </w:r>
      <w:r w:rsidRPr="00A37250">
        <w:rPr>
          <w:lang w:val="en-US"/>
        </w:rPr>
        <w:sym w:font="Wingdings" w:char="F0E0"/>
      </w:r>
      <w:r w:rsidRPr="00E97451">
        <w:rPr>
          <w:i/>
          <w:lang w:val="en-US"/>
        </w:rPr>
        <w:t xml:space="preserve"> RI </w:t>
      </w:r>
      <w:r w:rsidRPr="00A37250">
        <w:rPr>
          <w:lang w:val="en-US"/>
        </w:rPr>
        <w:sym w:font="Wingdings" w:char="F0E0"/>
      </w:r>
      <w:r w:rsidRPr="00E97451">
        <w:rPr>
          <w:i/>
          <w:lang w:val="en-US"/>
        </w:rPr>
        <w:t xml:space="preserve"> PMI </w:t>
      </w:r>
      <w:r w:rsidRPr="00A37250">
        <w:rPr>
          <w:lang w:val="en-US"/>
        </w:rPr>
        <w:sym w:font="Wingdings" w:char="F0E0"/>
      </w:r>
      <w:r w:rsidRPr="00E97451">
        <w:rPr>
          <w:i/>
          <w:lang w:val="en-US"/>
        </w:rPr>
        <w:t xml:space="preserve"> CQI</w:t>
      </w:r>
      <w:r w:rsidR="00DC1A25">
        <w:rPr>
          <w:i/>
          <w:lang w:val="en-US"/>
        </w:rPr>
        <w:t xml:space="preserve"> (lowest priority)</w:t>
      </w:r>
    </w:p>
    <w:p w14:paraId="07A93387" w14:textId="77777777" w:rsidR="00E97451" w:rsidRDefault="00E97451" w:rsidP="00E97451">
      <w:pPr>
        <w:pStyle w:val="maintext"/>
        <w:numPr>
          <w:ilvl w:val="0"/>
          <w:numId w:val="36"/>
        </w:numPr>
        <w:ind w:firstLineChars="0"/>
        <w:rPr>
          <w:i/>
          <w:lang w:val="en-US"/>
        </w:rPr>
      </w:pPr>
      <w:r>
        <w:rPr>
          <w:i/>
          <w:lang w:val="en-US"/>
        </w:rPr>
        <w:t>CQI definition follows that of LTE, i.e. recommended spectral efficiency under a similar constraint (e.g. 10% BLER within a pre-defined observation interval)</w:t>
      </w:r>
    </w:p>
    <w:p w14:paraId="61C7AB48" w14:textId="77777777" w:rsidR="00D84F91" w:rsidRDefault="00D84F91" w:rsidP="00D84F91">
      <w:pPr>
        <w:pStyle w:val="maintext"/>
        <w:numPr>
          <w:ilvl w:val="0"/>
          <w:numId w:val="36"/>
        </w:numPr>
        <w:ind w:firstLineChars="0"/>
        <w:rPr>
          <w:i/>
          <w:lang w:val="en-US"/>
        </w:rPr>
      </w:pPr>
      <w:r>
        <w:rPr>
          <w:i/>
          <w:lang w:val="en-US"/>
        </w:rPr>
        <w:t xml:space="preserve">At least 4-bit base CQI based on the three LTE 4-bit CQI tables (Table 7.2.3-1, 7.2.3-2, and 7.2.3-3 in TS36.213) is supported </w:t>
      </w:r>
    </w:p>
    <w:p w14:paraId="45D31F8A" w14:textId="4402DF65" w:rsidR="00E97451" w:rsidRDefault="00D84F91" w:rsidP="00D84F91">
      <w:pPr>
        <w:pStyle w:val="maintext"/>
        <w:numPr>
          <w:ilvl w:val="1"/>
          <w:numId w:val="36"/>
        </w:numPr>
        <w:ind w:firstLineChars="0"/>
        <w:rPr>
          <w:i/>
          <w:lang w:val="en-US"/>
        </w:rPr>
      </w:pPr>
      <w:r w:rsidRPr="00D84F91">
        <w:rPr>
          <w:i/>
          <w:lang w:val="en-US"/>
        </w:rPr>
        <w:t>Investigate the benefits of supporting additional CQI tables and the extent of such configurability (e.g. bit-width, mapping between code points and spectral efficiencies for a given bit-width), for example, 3-bit and 5-bit base CQI</w:t>
      </w:r>
    </w:p>
    <w:p w14:paraId="73AC7925" w14:textId="77777777" w:rsidR="0015436A" w:rsidRDefault="0015436A" w:rsidP="0015436A">
      <w:pPr>
        <w:pStyle w:val="maintext"/>
        <w:numPr>
          <w:ilvl w:val="0"/>
          <w:numId w:val="36"/>
        </w:numPr>
        <w:ind w:firstLineChars="0"/>
        <w:rPr>
          <w:i/>
        </w:rPr>
      </w:pPr>
      <w:r w:rsidRPr="00D118C0">
        <w:rPr>
          <w:i/>
          <w:lang w:val="en-US"/>
        </w:rPr>
        <w:t xml:space="preserve">Support CSI reporting which is optimized to </w:t>
      </w:r>
      <w:r>
        <w:rPr>
          <w:i/>
          <w:lang w:val="en-US"/>
        </w:rPr>
        <w:t>certain</w:t>
      </w:r>
      <w:r w:rsidRPr="00D118C0">
        <w:rPr>
          <w:i/>
          <w:lang w:val="en-US"/>
        </w:rPr>
        <w:t xml:space="preserve"> use case</w:t>
      </w:r>
      <w:r>
        <w:rPr>
          <w:i/>
          <w:lang w:val="en-US"/>
        </w:rPr>
        <w:t>s such as</w:t>
      </w:r>
      <w:r w:rsidRPr="00D118C0">
        <w:rPr>
          <w:i/>
          <w:lang w:val="en-US"/>
        </w:rPr>
        <w:t>.</w:t>
      </w:r>
    </w:p>
    <w:p w14:paraId="3AB088D0" w14:textId="77777777" w:rsidR="0015436A" w:rsidRPr="00D118C0" w:rsidRDefault="0015436A" w:rsidP="0015436A">
      <w:pPr>
        <w:pStyle w:val="maintext"/>
        <w:numPr>
          <w:ilvl w:val="1"/>
          <w:numId w:val="36"/>
        </w:numPr>
        <w:ind w:firstLineChars="0"/>
        <w:rPr>
          <w:i/>
          <w:lang w:val="en-US"/>
        </w:rPr>
      </w:pPr>
      <w:r w:rsidRPr="00D118C0">
        <w:rPr>
          <w:i/>
          <w:lang w:val="en-US"/>
        </w:rPr>
        <w:t xml:space="preserve">For high reliability services and low </w:t>
      </w:r>
      <w:r>
        <w:rPr>
          <w:i/>
          <w:lang w:val="en-US"/>
        </w:rPr>
        <w:t xml:space="preserve">cost </w:t>
      </w:r>
      <w:r w:rsidRPr="00D118C0">
        <w:rPr>
          <w:i/>
          <w:lang w:val="en-US"/>
        </w:rPr>
        <w:t>UE</w:t>
      </w:r>
      <w:r>
        <w:rPr>
          <w:i/>
          <w:lang w:val="en-US"/>
        </w:rPr>
        <w:t>,</w:t>
      </w:r>
      <w:r w:rsidRPr="00D118C0">
        <w:rPr>
          <w:i/>
          <w:lang w:val="en-US"/>
        </w:rPr>
        <w:t>, support only Type I feedback.</w:t>
      </w:r>
    </w:p>
    <w:p w14:paraId="217D5D85" w14:textId="77777777" w:rsidR="0015436A" w:rsidRPr="00D118C0" w:rsidRDefault="0015436A" w:rsidP="0015436A">
      <w:pPr>
        <w:pStyle w:val="maintext"/>
        <w:numPr>
          <w:ilvl w:val="1"/>
          <w:numId w:val="36"/>
        </w:numPr>
        <w:ind w:firstLineChars="0"/>
        <w:rPr>
          <w:i/>
          <w:lang w:val="en-US"/>
        </w:rPr>
      </w:pPr>
      <w:r w:rsidRPr="00D118C0">
        <w:rPr>
          <w:i/>
          <w:lang w:val="en-US"/>
        </w:rPr>
        <w:t xml:space="preserve">Support only wideband and partial band CSI for high reliability services and low </w:t>
      </w:r>
      <w:r>
        <w:rPr>
          <w:i/>
          <w:lang w:val="en-US"/>
        </w:rPr>
        <w:t xml:space="preserve">cost </w:t>
      </w:r>
      <w:r w:rsidRPr="00D118C0">
        <w:rPr>
          <w:i/>
          <w:lang w:val="en-US"/>
        </w:rPr>
        <w:t>UEs.</w:t>
      </w:r>
    </w:p>
    <w:p w14:paraId="61797581" w14:textId="77777777" w:rsidR="0015436A" w:rsidRPr="00D118C0" w:rsidRDefault="0015436A" w:rsidP="0015436A">
      <w:pPr>
        <w:pStyle w:val="maintext"/>
        <w:numPr>
          <w:ilvl w:val="1"/>
          <w:numId w:val="36"/>
        </w:numPr>
        <w:ind w:firstLineChars="0"/>
        <w:rPr>
          <w:i/>
          <w:lang w:val="en-US"/>
        </w:rPr>
      </w:pPr>
      <w:r w:rsidRPr="00D118C0">
        <w:rPr>
          <w:rFonts w:hint="eastAsia"/>
          <w:i/>
          <w:lang w:val="en-US"/>
        </w:rPr>
        <w:t xml:space="preserve">Support </w:t>
      </w:r>
      <w:r>
        <w:rPr>
          <w:i/>
          <w:lang w:val="en-US"/>
        </w:rPr>
        <w:t xml:space="preserve">an additional </w:t>
      </w:r>
      <w:r w:rsidRPr="00D118C0">
        <w:rPr>
          <w:rFonts w:hint="eastAsia"/>
          <w:i/>
          <w:lang w:val="en-US"/>
        </w:rPr>
        <w:t>CQI table for high reliability services.</w:t>
      </w:r>
    </w:p>
    <w:p w14:paraId="0B9DCCEE" w14:textId="45E08CE0" w:rsidR="0015436A" w:rsidRPr="00D118C0" w:rsidRDefault="00223DDF" w:rsidP="0015436A">
      <w:pPr>
        <w:pStyle w:val="maintext"/>
        <w:numPr>
          <w:ilvl w:val="2"/>
          <w:numId w:val="36"/>
        </w:numPr>
        <w:ind w:firstLineChars="0"/>
        <w:rPr>
          <w:i/>
          <w:lang w:val="en-US"/>
        </w:rPr>
      </w:pPr>
      <w:r>
        <w:rPr>
          <w:i/>
        </w:rPr>
        <w:t>R</w:t>
      </w:r>
      <w:r w:rsidR="0015436A">
        <w:rPr>
          <w:i/>
          <w:lang w:val="en-US"/>
        </w:rPr>
        <w:t xml:space="preserve">estriction </w:t>
      </w:r>
      <w:r w:rsidR="0015436A" w:rsidRPr="00D118C0">
        <w:rPr>
          <w:rFonts w:hint="eastAsia"/>
          <w:i/>
          <w:lang w:val="en-US"/>
        </w:rPr>
        <w:t>on</w:t>
      </w:r>
      <w:r w:rsidR="0015436A">
        <w:rPr>
          <w:i/>
          <w:lang w:val="en-US"/>
        </w:rPr>
        <w:t xml:space="preserve"> MCS and</w:t>
      </w:r>
      <w:r w:rsidR="0015436A" w:rsidRPr="00D118C0">
        <w:rPr>
          <w:rFonts w:hint="eastAsia"/>
          <w:i/>
          <w:lang w:val="en-US"/>
        </w:rPr>
        <w:t xml:space="preserve"> rank </w:t>
      </w:r>
      <w:r w:rsidR="0015436A" w:rsidRPr="00D118C0">
        <w:rPr>
          <w:i/>
          <w:lang w:val="en-US"/>
        </w:rPr>
        <w:t>for efficient UE feedback.</w:t>
      </w:r>
    </w:p>
    <w:p w14:paraId="3FCB6BA0" w14:textId="52894185" w:rsidR="0015436A" w:rsidRPr="00D118C0" w:rsidRDefault="0015436A" w:rsidP="0015436A">
      <w:pPr>
        <w:pStyle w:val="maintext"/>
        <w:numPr>
          <w:ilvl w:val="2"/>
          <w:numId w:val="36"/>
        </w:numPr>
        <w:ind w:firstLineChars="0"/>
        <w:rPr>
          <w:i/>
          <w:lang w:val="en-US"/>
        </w:rPr>
      </w:pPr>
      <w:r w:rsidRPr="00D118C0">
        <w:rPr>
          <w:i/>
          <w:lang w:val="en-US"/>
        </w:rPr>
        <w:t>CQI targeted to high reliability</w:t>
      </w:r>
      <w:r w:rsidRPr="00D118C0">
        <w:rPr>
          <w:rFonts w:hint="eastAsia"/>
          <w:i/>
          <w:lang w:val="en-US"/>
        </w:rPr>
        <w:t xml:space="preserve"> and configured numerology</w:t>
      </w:r>
      <w:r w:rsidRPr="00D118C0">
        <w:rPr>
          <w:i/>
          <w:lang w:val="en-US"/>
        </w:rPr>
        <w:t>.</w:t>
      </w:r>
    </w:p>
    <w:p w14:paraId="58AE3881" w14:textId="474F7C39" w:rsidR="00D84F91" w:rsidRPr="000C035A" w:rsidRDefault="00D84F91" w:rsidP="00D84F91">
      <w:pPr>
        <w:pStyle w:val="Heading1"/>
        <w:numPr>
          <w:ilvl w:val="0"/>
          <w:numId w:val="0"/>
        </w:numPr>
        <w:ind w:left="799" w:hanging="799"/>
        <w:rPr>
          <w:sz w:val="28"/>
          <w:lang w:val="en-US"/>
        </w:rPr>
      </w:pPr>
      <w:r>
        <w:rPr>
          <w:sz w:val="28"/>
          <w:lang w:val="en-US"/>
        </w:rPr>
        <w:t>Appendix</w:t>
      </w:r>
    </w:p>
    <w:p w14:paraId="35F6D09F" w14:textId="690CA0F0" w:rsidR="00D84F91" w:rsidRDefault="00D84F91" w:rsidP="00D84F91">
      <w:pPr>
        <w:spacing w:before="60" w:after="60" w:line="288" w:lineRule="auto"/>
        <w:ind w:firstLine="450"/>
        <w:jc w:val="both"/>
        <w:rPr>
          <w:lang w:val="en-US" w:eastAsia="ko-KR"/>
        </w:rPr>
      </w:pPr>
      <w:r>
        <w:rPr>
          <w:lang w:val="en-US" w:eastAsia="ko-KR"/>
        </w:rPr>
        <w:t>In this section, the first two 4-bit CQI tables from LTE are analyzed via link level simulation assuming AWGN channel</w:t>
      </w:r>
      <w:r w:rsidR="001E4E59">
        <w:rPr>
          <w:lang w:val="en-US" w:eastAsia="ko-KR"/>
        </w:rPr>
        <w:t xml:space="preserve"> and LDPC coding</w:t>
      </w:r>
      <w:bookmarkStart w:id="3" w:name="_GoBack"/>
      <w:bookmarkEnd w:id="3"/>
      <w:r>
        <w:rPr>
          <w:lang w:val="en-US" w:eastAsia="ko-KR"/>
        </w:rPr>
        <w:t>. Both 480-RE and 960-RE allocation are simulated. Observe that the following desirable characteristics for CQI table design:</w:t>
      </w:r>
    </w:p>
    <w:p w14:paraId="02E4DE38" w14:textId="77777777" w:rsidR="006702FE" w:rsidRDefault="00422EBE" w:rsidP="00D84F91">
      <w:pPr>
        <w:pStyle w:val="ListParagraph"/>
        <w:numPr>
          <w:ilvl w:val="0"/>
          <w:numId w:val="37"/>
        </w:numPr>
        <w:spacing w:before="60" w:after="60" w:line="288" w:lineRule="auto"/>
        <w:ind w:leftChars="0"/>
        <w:jc w:val="both"/>
        <w:rPr>
          <w:lang w:val="en-US" w:eastAsia="ko-KR"/>
        </w:rPr>
      </w:pPr>
      <w:r>
        <w:rPr>
          <w:lang w:val="en-US" w:eastAsia="ko-KR"/>
        </w:rPr>
        <w:t>Required SNR at 10% BLER is more or less evenly spaced among the 15 MCS levels</w:t>
      </w:r>
      <w:r w:rsidR="00D70461">
        <w:rPr>
          <w:lang w:val="en-US" w:eastAsia="ko-KR"/>
        </w:rPr>
        <w:t xml:space="preserve"> at least for the first LTE CQI table (max. 64QAM). There is still some room for improvement for the second table (max. 256QAM). </w:t>
      </w:r>
    </w:p>
    <w:p w14:paraId="32F7421A" w14:textId="43E15514" w:rsidR="00422EBE" w:rsidRDefault="006702FE" w:rsidP="006702FE">
      <w:pPr>
        <w:pStyle w:val="ListParagraph"/>
        <w:numPr>
          <w:ilvl w:val="1"/>
          <w:numId w:val="37"/>
        </w:numPr>
        <w:spacing w:before="60" w:after="60" w:line="288" w:lineRule="auto"/>
        <w:ind w:leftChars="0"/>
        <w:jc w:val="both"/>
        <w:rPr>
          <w:lang w:val="en-US" w:eastAsia="ko-KR"/>
        </w:rPr>
      </w:pPr>
      <w:r>
        <w:rPr>
          <w:lang w:val="en-US" w:eastAsia="ko-KR"/>
        </w:rPr>
        <w:t xml:space="preserve">Unless the support for 256QAM can wait until Phase II (or until June 2018), reusing the second LTE table seems reasonable.  </w:t>
      </w:r>
    </w:p>
    <w:p w14:paraId="7E721327" w14:textId="7F230F5A" w:rsidR="00D84F91" w:rsidRPr="00D84F91" w:rsidRDefault="00F440CB" w:rsidP="00D84F91">
      <w:pPr>
        <w:pStyle w:val="ListParagraph"/>
        <w:numPr>
          <w:ilvl w:val="0"/>
          <w:numId w:val="37"/>
        </w:numPr>
        <w:spacing w:before="60" w:after="60" w:line="288" w:lineRule="auto"/>
        <w:ind w:leftChars="0"/>
        <w:jc w:val="both"/>
        <w:rPr>
          <w:lang w:val="en-US" w:eastAsia="ko-KR"/>
        </w:rPr>
      </w:pPr>
      <w:r>
        <w:rPr>
          <w:lang w:val="en-US" w:eastAsia="ko-KR"/>
        </w:rPr>
        <w:t xml:space="preserve">The SNR span (dynamic range) across 15 MCS levels is sufficiently large for typical use cases (e.g. ADC limitation at the receiver, SINR and geometry distribution for macro- and small-cells) </w:t>
      </w:r>
      <w:r w:rsidR="00422EBE">
        <w:rPr>
          <w:lang w:val="en-US" w:eastAsia="ko-KR"/>
        </w:rPr>
        <w:t xml:space="preserve"> </w:t>
      </w:r>
      <w:r w:rsidR="00D84F91">
        <w:rPr>
          <w:lang w:val="en-US" w:eastAsia="ko-KR"/>
        </w:rPr>
        <w:t xml:space="preserve"> </w:t>
      </w:r>
    </w:p>
    <w:p w14:paraId="4F5D71D2" w14:textId="7FE99035" w:rsidR="00D84F91" w:rsidRDefault="00D84F91" w:rsidP="00F440CB">
      <w:pPr>
        <w:spacing w:before="60" w:after="60" w:line="288" w:lineRule="auto"/>
        <w:rPr>
          <w:lang w:val="en-US" w:eastAsia="ko-KR"/>
        </w:rPr>
      </w:pPr>
    </w:p>
    <w:p w14:paraId="7721499C" w14:textId="74AA46B9" w:rsidR="00D84F91" w:rsidRDefault="00BB3A02" w:rsidP="00BB3A02">
      <w:pPr>
        <w:spacing w:before="60" w:after="60" w:line="288" w:lineRule="auto"/>
        <w:jc w:val="center"/>
        <w:rPr>
          <w:lang w:val="en-US" w:eastAsia="ko-KR"/>
        </w:rPr>
      </w:pPr>
      <w:r>
        <w:rPr>
          <w:noProof/>
          <w:lang w:val="en-US" w:eastAsia="ko-KR"/>
        </w:rPr>
        <w:lastRenderedPageBreak/>
        <w:drawing>
          <wp:inline distT="0" distB="0" distL="0" distR="0" wp14:anchorId="57B75408" wp14:editId="16F3CE44">
            <wp:extent cx="4556502" cy="2259397"/>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6237" cy="2264224"/>
                    </a:xfrm>
                    <a:prstGeom prst="rect">
                      <a:avLst/>
                    </a:prstGeom>
                    <a:noFill/>
                  </pic:spPr>
                </pic:pic>
              </a:graphicData>
            </a:graphic>
          </wp:inline>
        </w:drawing>
      </w:r>
    </w:p>
    <w:p w14:paraId="7C1AECC9" w14:textId="2FFAD035" w:rsidR="00BB3A02" w:rsidRDefault="00BB3A02" w:rsidP="00BB3A02">
      <w:pPr>
        <w:spacing w:before="60" w:after="60" w:line="288" w:lineRule="auto"/>
        <w:jc w:val="center"/>
        <w:rPr>
          <w:lang w:val="en-US" w:eastAsia="ko-KR"/>
        </w:rPr>
      </w:pPr>
      <w:r>
        <w:rPr>
          <w:lang w:val="en-US" w:eastAsia="ko-KR"/>
        </w:rPr>
        <w:t>(a)</w:t>
      </w:r>
    </w:p>
    <w:p w14:paraId="223CB5C3" w14:textId="2C33A045" w:rsidR="00BB3A02" w:rsidRDefault="00BB3A02" w:rsidP="00BB3A02">
      <w:pPr>
        <w:spacing w:before="60" w:after="60" w:line="288" w:lineRule="auto"/>
        <w:jc w:val="center"/>
        <w:rPr>
          <w:lang w:val="en-US" w:eastAsia="ko-KR"/>
        </w:rPr>
      </w:pPr>
      <w:r>
        <w:rPr>
          <w:noProof/>
          <w:lang w:val="en-US" w:eastAsia="ko-KR"/>
        </w:rPr>
        <w:drawing>
          <wp:inline distT="0" distB="0" distL="0" distR="0" wp14:anchorId="5988AFFE" wp14:editId="282F6A12">
            <wp:extent cx="4556502" cy="21965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6502" cy="2196535"/>
                    </a:xfrm>
                    <a:prstGeom prst="rect">
                      <a:avLst/>
                    </a:prstGeom>
                    <a:noFill/>
                  </pic:spPr>
                </pic:pic>
              </a:graphicData>
            </a:graphic>
          </wp:inline>
        </w:drawing>
      </w:r>
    </w:p>
    <w:p w14:paraId="44125E64" w14:textId="3880FDE8" w:rsidR="00BB3A02" w:rsidRDefault="00BB3A02" w:rsidP="00BB3A02">
      <w:pPr>
        <w:spacing w:before="60" w:after="60" w:line="288" w:lineRule="auto"/>
        <w:jc w:val="center"/>
        <w:rPr>
          <w:lang w:val="en-US" w:eastAsia="ko-KR"/>
        </w:rPr>
      </w:pPr>
      <w:r>
        <w:rPr>
          <w:lang w:val="en-US" w:eastAsia="ko-KR"/>
        </w:rPr>
        <w:t>(b)</w:t>
      </w:r>
    </w:p>
    <w:p w14:paraId="0FBBF3B4" w14:textId="07109D75" w:rsidR="00BB3A02" w:rsidRDefault="00BB3A02" w:rsidP="00BB3A02">
      <w:pPr>
        <w:pStyle w:val="Caption"/>
        <w:jc w:val="center"/>
        <w:rPr>
          <w:b w:val="0"/>
        </w:rPr>
      </w:pPr>
      <w:r>
        <w:t xml:space="preserve">Figure </w:t>
      </w:r>
      <w:r>
        <w:fldChar w:fldCharType="begin"/>
      </w:r>
      <w:r>
        <w:instrText xml:space="preserve"> SEQ Figure \* ARABIC </w:instrText>
      </w:r>
      <w:r>
        <w:fldChar w:fldCharType="separate"/>
      </w:r>
      <w:r>
        <w:rPr>
          <w:noProof/>
        </w:rPr>
        <w:t>1</w:t>
      </w:r>
      <w:r>
        <w:fldChar w:fldCharType="end"/>
      </w:r>
      <w:r>
        <w:t xml:space="preserve"> </w:t>
      </w:r>
      <w:r>
        <w:rPr>
          <w:b w:val="0"/>
        </w:rPr>
        <w:t>Max 64QAM, 480-RE allocation: (a) BLER curves, (b) required SNR for 10% BLER</w:t>
      </w:r>
    </w:p>
    <w:p w14:paraId="39EE70EA" w14:textId="77777777" w:rsidR="003E463F" w:rsidRPr="003E463F" w:rsidRDefault="003E463F" w:rsidP="003E463F"/>
    <w:p w14:paraId="18E8B64E" w14:textId="14E11BF7" w:rsidR="00BA4202" w:rsidRDefault="00BA4202" w:rsidP="00FB0126">
      <w:pPr>
        <w:pStyle w:val="Caption"/>
        <w:jc w:val="center"/>
        <w:rPr>
          <w:b w:val="0"/>
        </w:rPr>
      </w:pPr>
      <w:r>
        <w:rPr>
          <w:b w:val="0"/>
          <w:noProof/>
          <w:lang w:val="en-US" w:eastAsia="ko-KR"/>
        </w:rPr>
        <w:drawing>
          <wp:inline distT="0" distB="0" distL="0" distR="0" wp14:anchorId="39F40D0B" wp14:editId="35A36962">
            <wp:extent cx="4572000" cy="22670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4559" cy="2268351"/>
                    </a:xfrm>
                    <a:prstGeom prst="rect">
                      <a:avLst/>
                    </a:prstGeom>
                    <a:noFill/>
                  </pic:spPr>
                </pic:pic>
              </a:graphicData>
            </a:graphic>
          </wp:inline>
        </w:drawing>
      </w:r>
    </w:p>
    <w:p w14:paraId="3866AA54" w14:textId="2374A5FA" w:rsidR="00FB0126" w:rsidRPr="00FB0126" w:rsidRDefault="00FB0126" w:rsidP="00FB0126">
      <w:pPr>
        <w:pStyle w:val="Caption"/>
        <w:jc w:val="center"/>
        <w:rPr>
          <w:b w:val="0"/>
        </w:rPr>
      </w:pPr>
      <w:r w:rsidRPr="00FB0126">
        <w:rPr>
          <w:b w:val="0"/>
        </w:rPr>
        <w:t>(a)</w:t>
      </w:r>
    </w:p>
    <w:p w14:paraId="590EACCA" w14:textId="72316FA5" w:rsidR="00BA4202" w:rsidRDefault="00BA4202" w:rsidP="00FB0126">
      <w:pPr>
        <w:jc w:val="center"/>
      </w:pPr>
      <w:r>
        <w:rPr>
          <w:noProof/>
          <w:lang w:val="en-US" w:eastAsia="ko-KR"/>
        </w:rPr>
        <w:lastRenderedPageBreak/>
        <w:drawing>
          <wp:inline distT="0" distB="0" distL="0" distR="0" wp14:anchorId="7A66D700" wp14:editId="4A840479">
            <wp:extent cx="4610746" cy="2222684"/>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7549" cy="2225963"/>
                    </a:xfrm>
                    <a:prstGeom prst="rect">
                      <a:avLst/>
                    </a:prstGeom>
                    <a:noFill/>
                  </pic:spPr>
                </pic:pic>
              </a:graphicData>
            </a:graphic>
          </wp:inline>
        </w:drawing>
      </w:r>
    </w:p>
    <w:p w14:paraId="55A12E28" w14:textId="4D101B72" w:rsidR="00FB0126" w:rsidRPr="00FB0126" w:rsidRDefault="00FB0126" w:rsidP="00FB0126">
      <w:pPr>
        <w:jc w:val="center"/>
      </w:pPr>
      <w:r w:rsidRPr="00FB0126">
        <w:t>(b)</w:t>
      </w:r>
    </w:p>
    <w:p w14:paraId="7F10F67D" w14:textId="6145482A" w:rsidR="00F440CB" w:rsidRPr="003E463F" w:rsidRDefault="00F440CB" w:rsidP="003E463F">
      <w:pPr>
        <w:pStyle w:val="Caption"/>
        <w:jc w:val="center"/>
        <w:rPr>
          <w:b w:val="0"/>
          <w:lang w:val="en-US"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r>
        <w:rPr>
          <w:b w:val="0"/>
        </w:rPr>
        <w:t>Max 64QAM, 960-RE allocation: (a) BLER curves, (b) required SNR for 10% BLER</w:t>
      </w:r>
    </w:p>
    <w:p w14:paraId="48CD10EC" w14:textId="77777777" w:rsidR="00F440CB" w:rsidRDefault="00F440CB" w:rsidP="00BB3A02">
      <w:pPr>
        <w:spacing w:before="60" w:after="60" w:line="288" w:lineRule="auto"/>
        <w:rPr>
          <w:lang w:val="en-US" w:eastAsia="ko-KR"/>
        </w:rPr>
      </w:pPr>
    </w:p>
    <w:p w14:paraId="5E0EEA12" w14:textId="16E669B7" w:rsidR="00BB3A02" w:rsidRDefault="00BB3A02" w:rsidP="00D70461">
      <w:pPr>
        <w:spacing w:before="60" w:after="60" w:line="288" w:lineRule="auto"/>
        <w:jc w:val="center"/>
        <w:rPr>
          <w:lang w:val="en-US" w:eastAsia="ko-KR"/>
        </w:rPr>
      </w:pPr>
      <w:r>
        <w:rPr>
          <w:noProof/>
          <w:lang w:val="en-US" w:eastAsia="ko-KR"/>
        </w:rPr>
        <w:drawing>
          <wp:inline distT="0" distB="0" distL="0" distR="0" wp14:anchorId="33B2D1DF" wp14:editId="6D99EE98">
            <wp:extent cx="4572000" cy="2264928"/>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3889" cy="2265864"/>
                    </a:xfrm>
                    <a:prstGeom prst="rect">
                      <a:avLst/>
                    </a:prstGeom>
                    <a:noFill/>
                  </pic:spPr>
                </pic:pic>
              </a:graphicData>
            </a:graphic>
          </wp:inline>
        </w:drawing>
      </w:r>
    </w:p>
    <w:p w14:paraId="214CA7B4" w14:textId="14CA667B" w:rsidR="00D70461" w:rsidRDefault="00D70461" w:rsidP="00D70461">
      <w:pPr>
        <w:spacing w:before="60" w:after="60" w:line="288" w:lineRule="auto"/>
        <w:jc w:val="center"/>
        <w:rPr>
          <w:lang w:val="en-US" w:eastAsia="ko-KR"/>
        </w:rPr>
      </w:pPr>
      <w:r>
        <w:rPr>
          <w:lang w:val="en-US" w:eastAsia="ko-KR"/>
        </w:rPr>
        <w:t>(a)</w:t>
      </w:r>
    </w:p>
    <w:p w14:paraId="5311D829" w14:textId="70E7D06A" w:rsidR="00D84F91" w:rsidRDefault="00BB3A02" w:rsidP="00D70461">
      <w:pPr>
        <w:spacing w:before="60" w:after="60" w:line="288" w:lineRule="auto"/>
        <w:jc w:val="center"/>
        <w:rPr>
          <w:lang w:val="en-US" w:eastAsia="ko-KR"/>
        </w:rPr>
      </w:pPr>
      <w:r>
        <w:rPr>
          <w:noProof/>
          <w:lang w:val="en-US" w:eastAsia="ko-KR"/>
        </w:rPr>
        <w:drawing>
          <wp:inline distT="0" distB="0" distL="0" distR="0" wp14:anchorId="0B9FA554" wp14:editId="607EA3E1">
            <wp:extent cx="4572000" cy="22000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4914" cy="2201472"/>
                    </a:xfrm>
                    <a:prstGeom prst="rect">
                      <a:avLst/>
                    </a:prstGeom>
                    <a:noFill/>
                  </pic:spPr>
                </pic:pic>
              </a:graphicData>
            </a:graphic>
          </wp:inline>
        </w:drawing>
      </w:r>
    </w:p>
    <w:p w14:paraId="33CA381A" w14:textId="6FD718DB" w:rsidR="00D70461" w:rsidRDefault="00D70461" w:rsidP="00D70461">
      <w:pPr>
        <w:spacing w:before="60" w:after="60" w:line="288" w:lineRule="auto"/>
        <w:jc w:val="center"/>
        <w:rPr>
          <w:lang w:val="en-US" w:eastAsia="ko-KR"/>
        </w:rPr>
      </w:pPr>
      <w:r>
        <w:rPr>
          <w:lang w:val="en-US" w:eastAsia="ko-KR"/>
        </w:rPr>
        <w:t>(b)</w:t>
      </w:r>
    </w:p>
    <w:p w14:paraId="443E288B" w14:textId="13F10B56" w:rsidR="00D70461" w:rsidRDefault="00D70461" w:rsidP="00D70461">
      <w:pPr>
        <w:pStyle w:val="Caption"/>
        <w:jc w:val="center"/>
        <w:rPr>
          <w:b w:val="0"/>
        </w:rPr>
      </w:pPr>
      <w:r>
        <w:t xml:space="preserve">Figure </w:t>
      </w:r>
      <w:r>
        <w:fldChar w:fldCharType="begin"/>
      </w:r>
      <w:r>
        <w:instrText xml:space="preserve"> SEQ Figure \* ARABIC </w:instrText>
      </w:r>
      <w:r>
        <w:fldChar w:fldCharType="separate"/>
      </w:r>
      <w:r w:rsidR="00FB0126">
        <w:rPr>
          <w:noProof/>
        </w:rPr>
        <w:t>3</w:t>
      </w:r>
      <w:r>
        <w:fldChar w:fldCharType="end"/>
      </w:r>
      <w:r>
        <w:t xml:space="preserve"> </w:t>
      </w:r>
      <w:r>
        <w:rPr>
          <w:b w:val="0"/>
        </w:rPr>
        <w:t>Max 256QAM, 480-RE allocation: (a) BLER curves, (b) required SNR for 10% BLER</w:t>
      </w:r>
    </w:p>
    <w:p w14:paraId="6C5DB067" w14:textId="77777777" w:rsidR="003E463F" w:rsidRPr="003E463F" w:rsidRDefault="003E463F" w:rsidP="003E463F"/>
    <w:p w14:paraId="2C7C521B" w14:textId="42152C0E" w:rsidR="00FB0126" w:rsidRDefault="00BA4202" w:rsidP="00BA4202">
      <w:pPr>
        <w:spacing w:before="60" w:after="60" w:line="288" w:lineRule="auto"/>
        <w:jc w:val="center"/>
        <w:rPr>
          <w:lang w:val="en-US" w:eastAsia="ko-KR"/>
        </w:rPr>
      </w:pPr>
      <w:r>
        <w:rPr>
          <w:noProof/>
          <w:lang w:val="en-US" w:eastAsia="ko-KR"/>
        </w:rPr>
        <w:lastRenderedPageBreak/>
        <w:drawing>
          <wp:inline distT="0" distB="0" distL="0" distR="0" wp14:anchorId="05A55BA0" wp14:editId="28BD287F">
            <wp:extent cx="4587498" cy="2272605"/>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89393" cy="2273544"/>
                    </a:xfrm>
                    <a:prstGeom prst="rect">
                      <a:avLst/>
                    </a:prstGeom>
                    <a:noFill/>
                  </pic:spPr>
                </pic:pic>
              </a:graphicData>
            </a:graphic>
          </wp:inline>
        </w:drawing>
      </w:r>
    </w:p>
    <w:p w14:paraId="58515BDE" w14:textId="04C707B0" w:rsidR="00D70461" w:rsidRDefault="00FB0126" w:rsidP="00FB0126">
      <w:pPr>
        <w:spacing w:before="60" w:after="60" w:line="288" w:lineRule="auto"/>
        <w:jc w:val="center"/>
        <w:rPr>
          <w:lang w:val="en-US" w:eastAsia="ko-KR"/>
        </w:rPr>
      </w:pPr>
      <w:r>
        <w:rPr>
          <w:lang w:val="en-US" w:eastAsia="ko-KR"/>
        </w:rPr>
        <w:t>(a)</w:t>
      </w:r>
    </w:p>
    <w:p w14:paraId="7BC7494E" w14:textId="2E1610ED" w:rsidR="00BA4202" w:rsidRDefault="003E463F" w:rsidP="00FB0126">
      <w:pPr>
        <w:spacing w:before="60" w:after="60" w:line="288" w:lineRule="auto"/>
        <w:jc w:val="center"/>
        <w:rPr>
          <w:lang w:val="en-US" w:eastAsia="ko-KR"/>
        </w:rPr>
      </w:pPr>
      <w:r>
        <w:rPr>
          <w:noProof/>
          <w:lang w:val="en-US" w:eastAsia="ko-KR"/>
        </w:rPr>
        <w:drawing>
          <wp:inline distT="0" distB="0" distL="0" distR="0" wp14:anchorId="37ED48E4" wp14:editId="59F1DC4E">
            <wp:extent cx="4587498" cy="2207528"/>
            <wp:effectExtent l="0" t="0" r="381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0421" cy="2208934"/>
                    </a:xfrm>
                    <a:prstGeom prst="rect">
                      <a:avLst/>
                    </a:prstGeom>
                    <a:noFill/>
                  </pic:spPr>
                </pic:pic>
              </a:graphicData>
            </a:graphic>
          </wp:inline>
        </w:drawing>
      </w:r>
    </w:p>
    <w:p w14:paraId="736BAEBD" w14:textId="7DF9C405" w:rsidR="00FB0126" w:rsidRDefault="00FB0126" w:rsidP="00FB0126">
      <w:pPr>
        <w:spacing w:before="60" w:after="60" w:line="288" w:lineRule="auto"/>
        <w:jc w:val="center"/>
        <w:rPr>
          <w:lang w:val="en-US" w:eastAsia="ko-KR"/>
        </w:rPr>
      </w:pPr>
      <w:r>
        <w:rPr>
          <w:lang w:val="en-US" w:eastAsia="ko-KR"/>
        </w:rPr>
        <w:t>(b)</w:t>
      </w:r>
    </w:p>
    <w:p w14:paraId="412D2616" w14:textId="2E9D8756" w:rsidR="00BB3A02" w:rsidRPr="003E463F" w:rsidRDefault="00FB0126" w:rsidP="003E463F">
      <w:pPr>
        <w:pStyle w:val="Caption"/>
        <w:jc w:val="center"/>
        <w:rPr>
          <w:b w:val="0"/>
          <w:lang w:val="en-US" w:eastAsia="ko-KR"/>
        </w:rPr>
      </w:pPr>
      <w:r>
        <w:t xml:space="preserve">Figure </w:t>
      </w:r>
      <w:r>
        <w:fldChar w:fldCharType="begin"/>
      </w:r>
      <w:r>
        <w:instrText xml:space="preserve"> SEQ Figure \* ARABIC </w:instrText>
      </w:r>
      <w:r>
        <w:fldChar w:fldCharType="separate"/>
      </w:r>
      <w:r>
        <w:rPr>
          <w:noProof/>
        </w:rPr>
        <w:t>4</w:t>
      </w:r>
      <w:r>
        <w:fldChar w:fldCharType="end"/>
      </w:r>
      <w:r>
        <w:t xml:space="preserve"> </w:t>
      </w:r>
      <w:r>
        <w:rPr>
          <w:b w:val="0"/>
        </w:rPr>
        <w:t>Max 256QAM, 960-RE allocation: (a) BLER curves, (b) required SNR for 10% BLER</w:t>
      </w:r>
    </w:p>
    <w:p w14:paraId="6E9E8BB6" w14:textId="77777777" w:rsidR="00D84F91" w:rsidRPr="0050422F" w:rsidRDefault="00D84F91" w:rsidP="00D84F91">
      <w:pPr>
        <w:spacing w:before="60" w:after="60" w:line="288" w:lineRule="auto"/>
        <w:jc w:val="center"/>
        <w:rPr>
          <w:lang w:val="en-US" w:eastAsia="ko-KR"/>
        </w:rPr>
      </w:pPr>
    </w:p>
    <w:p w14:paraId="4EACC1ED" w14:textId="65BED326" w:rsidR="000F762B" w:rsidRPr="00D84F91" w:rsidRDefault="000F762B" w:rsidP="00751E20">
      <w:pPr>
        <w:pStyle w:val="Heading1"/>
        <w:numPr>
          <w:ilvl w:val="0"/>
          <w:numId w:val="0"/>
        </w:numPr>
        <w:snapToGrid w:val="0"/>
        <w:spacing w:before="60"/>
        <w:rPr>
          <w:sz w:val="28"/>
          <w:lang w:val="en-US"/>
        </w:rPr>
      </w:pPr>
      <w:r w:rsidRPr="00D84F91">
        <w:rPr>
          <w:sz w:val="28"/>
          <w:lang w:val="en-US"/>
        </w:rPr>
        <w:t>References</w:t>
      </w:r>
    </w:p>
    <w:p w14:paraId="782294B9" w14:textId="385E80A9" w:rsidR="002B3B3B" w:rsidRDefault="00D772A3" w:rsidP="00EE2767">
      <w:pPr>
        <w:pStyle w:val="2222"/>
        <w:numPr>
          <w:ilvl w:val="0"/>
          <w:numId w:val="5"/>
        </w:numPr>
        <w:spacing w:after="120" w:line="288" w:lineRule="auto"/>
        <w:ind w:left="357" w:firstLineChars="0" w:hanging="357"/>
        <w:rPr>
          <w:rFonts w:cs="Times New Roman"/>
          <w:lang w:val="en-US" w:eastAsia="ko-KR"/>
        </w:rPr>
      </w:pPr>
      <w:bookmarkStart w:id="4" w:name="_Ref458614461"/>
      <w:r w:rsidRPr="00836647">
        <w:rPr>
          <w:rFonts w:cs="Times New Roman"/>
          <w:lang w:val="en-US" w:eastAsia="ko-KR"/>
        </w:rPr>
        <w:t>3GPP, RAN1</w:t>
      </w:r>
      <w:r w:rsidR="00A44724">
        <w:rPr>
          <w:rFonts w:cs="Times New Roman"/>
          <w:lang w:val="en-US" w:eastAsia="ko-KR"/>
        </w:rPr>
        <w:t>#88bis</w:t>
      </w:r>
      <w:r w:rsidRPr="00836647">
        <w:rPr>
          <w:rFonts w:cs="Times New Roman"/>
          <w:lang w:val="en-US" w:eastAsia="ko-KR"/>
        </w:rPr>
        <w:t>, Chairman’s Notes</w:t>
      </w:r>
      <w:bookmarkEnd w:id="4"/>
    </w:p>
    <w:p w14:paraId="21F439E7" w14:textId="7108A400" w:rsidR="003F54E6" w:rsidRPr="003F54E6" w:rsidRDefault="003F54E6" w:rsidP="00223DDF">
      <w:pPr>
        <w:pStyle w:val="2222"/>
        <w:numPr>
          <w:ilvl w:val="0"/>
          <w:numId w:val="5"/>
        </w:numPr>
        <w:spacing w:after="120" w:line="288" w:lineRule="auto"/>
        <w:ind w:left="357" w:firstLineChars="0" w:hanging="357"/>
        <w:rPr>
          <w:rFonts w:cs="Times New Roman"/>
          <w:lang w:val="en-US" w:eastAsia="ko-KR"/>
        </w:rPr>
      </w:pPr>
      <w:r>
        <w:rPr>
          <w:rFonts w:cs="Times New Roman" w:hint="eastAsia"/>
          <w:lang w:val="en-US" w:eastAsia="ko-KR"/>
        </w:rPr>
        <w:t xml:space="preserve">R1-1717619, </w:t>
      </w:r>
      <w:r>
        <w:rPr>
          <w:rFonts w:cs="Times New Roman"/>
          <w:lang w:val="en-US" w:eastAsia="ko-KR"/>
        </w:rPr>
        <w:t>“</w:t>
      </w:r>
      <w:r>
        <w:rPr>
          <w:rFonts w:cs="Times New Roman" w:hint="eastAsia"/>
          <w:lang w:val="en-US" w:eastAsia="ko-KR"/>
        </w:rPr>
        <w:t>Discussions on service specific CSI for NR</w:t>
      </w:r>
      <w:r>
        <w:rPr>
          <w:rFonts w:cs="Times New Roman"/>
          <w:lang w:val="en-US" w:eastAsia="ko-KR"/>
        </w:rPr>
        <w:t>”</w:t>
      </w:r>
      <w:r>
        <w:rPr>
          <w:rFonts w:cs="Times New Roman" w:hint="eastAsia"/>
          <w:lang w:val="en-US" w:eastAsia="ko-KR"/>
        </w:rPr>
        <w:t>, Samsung</w:t>
      </w:r>
    </w:p>
    <w:sectPr w:rsidR="003F54E6" w:rsidRPr="003F54E6" w:rsidSect="00FF4D8E">
      <w:headerReference w:type="defaul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9196E8" w15:done="0"/>
  <w15:commentEx w15:paraId="3DEDF77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FBD6C3" w14:textId="77777777" w:rsidR="008B3191" w:rsidRDefault="008B3191">
      <w:r>
        <w:separator/>
      </w:r>
    </w:p>
  </w:endnote>
  <w:endnote w:type="continuationSeparator" w:id="0">
    <w:p w14:paraId="79259F4C" w14:textId="77777777" w:rsidR="008B3191" w:rsidRDefault="008B3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F43E62" w14:textId="77777777" w:rsidR="008B3191" w:rsidRDefault="008B3191">
      <w:r>
        <w:separator/>
      </w:r>
    </w:p>
  </w:footnote>
  <w:footnote w:type="continuationSeparator" w:id="0">
    <w:p w14:paraId="552AA8CD" w14:textId="77777777" w:rsidR="008B3191" w:rsidRDefault="008B3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BF6F1B" w:rsidRDefault="00BF6F1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60157E1"/>
    <w:multiLevelType w:val="hybridMultilevel"/>
    <w:tmpl w:val="10BEC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A7B273F"/>
    <w:multiLevelType w:val="hybridMultilevel"/>
    <w:tmpl w:val="8BAEF4D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5">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2B45366E"/>
    <w:multiLevelType w:val="hybridMultilevel"/>
    <w:tmpl w:val="D584DAC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7">
    <w:nsid w:val="2B790878"/>
    <w:multiLevelType w:val="hybridMultilevel"/>
    <w:tmpl w:val="4B288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1">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980B15"/>
    <w:multiLevelType w:val="hybridMultilevel"/>
    <w:tmpl w:val="894C96F4"/>
    <w:lvl w:ilvl="0" w:tplc="04090001">
      <w:start w:val="1"/>
      <w:numFmt w:val="bullet"/>
      <w:lvlText w:val=""/>
      <w:lvlJc w:val="left"/>
      <w:pPr>
        <w:ind w:left="2240" w:hanging="360"/>
      </w:pPr>
      <w:rPr>
        <w:rFonts w:ascii="Symbol" w:hAnsi="Symbol" w:hint="default"/>
      </w:rPr>
    </w:lvl>
    <w:lvl w:ilvl="1" w:tplc="04090003" w:tentative="1">
      <w:start w:val="1"/>
      <w:numFmt w:val="bullet"/>
      <w:lvlText w:val="o"/>
      <w:lvlJc w:val="left"/>
      <w:pPr>
        <w:ind w:left="2960" w:hanging="360"/>
      </w:pPr>
      <w:rPr>
        <w:rFonts w:ascii="Courier New" w:hAnsi="Courier New" w:cs="Courier New" w:hint="default"/>
      </w:rPr>
    </w:lvl>
    <w:lvl w:ilvl="2" w:tplc="04090005" w:tentative="1">
      <w:start w:val="1"/>
      <w:numFmt w:val="bullet"/>
      <w:lvlText w:val=""/>
      <w:lvlJc w:val="left"/>
      <w:pPr>
        <w:ind w:left="3680" w:hanging="360"/>
      </w:pPr>
      <w:rPr>
        <w:rFonts w:ascii="Wingdings" w:hAnsi="Wingdings" w:hint="default"/>
      </w:rPr>
    </w:lvl>
    <w:lvl w:ilvl="3" w:tplc="04090001" w:tentative="1">
      <w:start w:val="1"/>
      <w:numFmt w:val="bullet"/>
      <w:lvlText w:val=""/>
      <w:lvlJc w:val="left"/>
      <w:pPr>
        <w:ind w:left="4400" w:hanging="360"/>
      </w:pPr>
      <w:rPr>
        <w:rFonts w:ascii="Symbol" w:hAnsi="Symbol" w:hint="default"/>
      </w:rPr>
    </w:lvl>
    <w:lvl w:ilvl="4" w:tplc="04090003" w:tentative="1">
      <w:start w:val="1"/>
      <w:numFmt w:val="bullet"/>
      <w:lvlText w:val="o"/>
      <w:lvlJc w:val="left"/>
      <w:pPr>
        <w:ind w:left="5120" w:hanging="360"/>
      </w:pPr>
      <w:rPr>
        <w:rFonts w:ascii="Courier New" w:hAnsi="Courier New" w:cs="Courier New" w:hint="default"/>
      </w:rPr>
    </w:lvl>
    <w:lvl w:ilvl="5" w:tplc="04090005" w:tentative="1">
      <w:start w:val="1"/>
      <w:numFmt w:val="bullet"/>
      <w:lvlText w:val=""/>
      <w:lvlJc w:val="left"/>
      <w:pPr>
        <w:ind w:left="5840" w:hanging="360"/>
      </w:pPr>
      <w:rPr>
        <w:rFonts w:ascii="Wingdings" w:hAnsi="Wingdings" w:hint="default"/>
      </w:rPr>
    </w:lvl>
    <w:lvl w:ilvl="6" w:tplc="04090001" w:tentative="1">
      <w:start w:val="1"/>
      <w:numFmt w:val="bullet"/>
      <w:lvlText w:val=""/>
      <w:lvlJc w:val="left"/>
      <w:pPr>
        <w:ind w:left="6560" w:hanging="360"/>
      </w:pPr>
      <w:rPr>
        <w:rFonts w:ascii="Symbol" w:hAnsi="Symbol" w:hint="default"/>
      </w:rPr>
    </w:lvl>
    <w:lvl w:ilvl="7" w:tplc="04090003" w:tentative="1">
      <w:start w:val="1"/>
      <w:numFmt w:val="bullet"/>
      <w:lvlText w:val="o"/>
      <w:lvlJc w:val="left"/>
      <w:pPr>
        <w:ind w:left="7280" w:hanging="360"/>
      </w:pPr>
      <w:rPr>
        <w:rFonts w:ascii="Courier New" w:hAnsi="Courier New" w:cs="Courier New" w:hint="default"/>
      </w:rPr>
    </w:lvl>
    <w:lvl w:ilvl="8" w:tplc="04090005" w:tentative="1">
      <w:start w:val="1"/>
      <w:numFmt w:val="bullet"/>
      <w:lvlText w:val=""/>
      <w:lvlJc w:val="left"/>
      <w:pPr>
        <w:ind w:left="8000" w:hanging="360"/>
      </w:pPr>
      <w:rPr>
        <w:rFonts w:ascii="Wingdings" w:hAnsi="Wingdings" w:hint="default"/>
      </w:rPr>
    </w:lvl>
  </w:abstractNum>
  <w:abstractNum w:abstractNumId="13">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4">
    <w:nsid w:val="3CCB0560"/>
    <w:multiLevelType w:val="hybridMultilevel"/>
    <w:tmpl w:val="EDBCD9B0"/>
    <w:lvl w:ilvl="0" w:tplc="97D696DC">
      <w:start w:val="1"/>
      <w:numFmt w:val="decimal"/>
      <w:lvlText w:val="%1)"/>
      <w:lvlJc w:val="left"/>
      <w:pPr>
        <w:ind w:left="1880" w:hanging="360"/>
      </w:pPr>
      <w:rPr>
        <w:rFonts w:hint="default"/>
      </w:rPr>
    </w:lvl>
    <w:lvl w:ilvl="1" w:tplc="04090019">
      <w:start w:val="1"/>
      <w:numFmt w:val="lowerLetter"/>
      <w:lvlText w:val="%2."/>
      <w:lvlJc w:val="left"/>
      <w:pPr>
        <w:ind w:left="2600" w:hanging="360"/>
      </w:pPr>
    </w:lvl>
    <w:lvl w:ilvl="2" w:tplc="0409001B" w:tentative="1">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5">
    <w:nsid w:val="3CDE5514"/>
    <w:multiLevelType w:val="hybridMultilevel"/>
    <w:tmpl w:val="31502C3A"/>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6">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F6D4041"/>
    <w:multiLevelType w:val="hybridMultilevel"/>
    <w:tmpl w:val="68C01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7F6808"/>
    <w:multiLevelType w:val="hybridMultilevel"/>
    <w:tmpl w:val="8EEC7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1">
    <w:nsid w:val="544F15B5"/>
    <w:multiLevelType w:val="hybridMultilevel"/>
    <w:tmpl w:val="74B25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7C73098"/>
    <w:multiLevelType w:val="hybridMultilevel"/>
    <w:tmpl w:val="C2E8D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8458B4"/>
    <w:multiLevelType w:val="hybridMultilevel"/>
    <w:tmpl w:val="7940FE72"/>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25">
    <w:nsid w:val="68316159"/>
    <w:multiLevelType w:val="hybridMultilevel"/>
    <w:tmpl w:val="B9FA64E2"/>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4E78F3"/>
    <w:multiLevelType w:val="hybridMultilevel"/>
    <w:tmpl w:val="7EA291BE"/>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0">
    <w:nsid w:val="708E4127"/>
    <w:multiLevelType w:val="hybridMultilevel"/>
    <w:tmpl w:val="511C3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567B96"/>
    <w:multiLevelType w:val="hybridMultilevel"/>
    <w:tmpl w:val="F0DCC15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5B1647F"/>
    <w:multiLevelType w:val="hybridMultilevel"/>
    <w:tmpl w:val="4F68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5469B1"/>
    <w:multiLevelType w:val="hybridMultilevel"/>
    <w:tmpl w:val="FB0ED4A8"/>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nsid w:val="7AA968A6"/>
    <w:multiLevelType w:val="hybridMultilevel"/>
    <w:tmpl w:val="FFB8D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9"/>
  </w:num>
  <w:num w:numId="3">
    <w:abstractNumId w:val="22"/>
  </w:num>
  <w:num w:numId="4">
    <w:abstractNumId w:val="32"/>
  </w:num>
  <w:num w:numId="5">
    <w:abstractNumId w:val="1"/>
  </w:num>
  <w:num w:numId="6">
    <w:abstractNumId w:val="28"/>
  </w:num>
  <w:num w:numId="7">
    <w:abstractNumId w:val="10"/>
  </w:num>
  <w:num w:numId="8">
    <w:abstractNumId w:val="17"/>
  </w:num>
  <w:num w:numId="9">
    <w:abstractNumId w:val="27"/>
  </w:num>
  <w:num w:numId="10">
    <w:abstractNumId w:val="0"/>
  </w:num>
  <w:num w:numId="11">
    <w:abstractNumId w:val="11"/>
  </w:num>
  <w:num w:numId="12">
    <w:abstractNumId w:val="29"/>
  </w:num>
  <w:num w:numId="13">
    <w:abstractNumId w:val="5"/>
  </w:num>
  <w:num w:numId="14">
    <w:abstractNumId w:val="36"/>
  </w:num>
  <w:num w:numId="15">
    <w:abstractNumId w:val="26"/>
  </w:num>
  <w:num w:numId="16">
    <w:abstractNumId w:val="8"/>
  </w:num>
  <w:num w:numId="17">
    <w:abstractNumId w:val="14"/>
  </w:num>
  <w:num w:numId="18">
    <w:abstractNumId w:val="12"/>
  </w:num>
  <w:num w:numId="19">
    <w:abstractNumId w:val="13"/>
  </w:num>
  <w:num w:numId="20">
    <w:abstractNumId w:val="20"/>
  </w:num>
  <w:num w:numId="21">
    <w:abstractNumId w:val="31"/>
  </w:num>
  <w:num w:numId="22">
    <w:abstractNumId w:val="23"/>
  </w:num>
  <w:num w:numId="23">
    <w:abstractNumId w:val="7"/>
  </w:num>
  <w:num w:numId="24">
    <w:abstractNumId w:val="30"/>
  </w:num>
  <w:num w:numId="25">
    <w:abstractNumId w:val="21"/>
  </w:num>
  <w:num w:numId="26">
    <w:abstractNumId w:val="33"/>
  </w:num>
  <w:num w:numId="27">
    <w:abstractNumId w:val="16"/>
  </w:num>
  <w:num w:numId="28">
    <w:abstractNumId w:val="2"/>
  </w:num>
  <w:num w:numId="29">
    <w:abstractNumId w:val="35"/>
  </w:num>
  <w:num w:numId="30">
    <w:abstractNumId w:val="25"/>
  </w:num>
  <w:num w:numId="31">
    <w:abstractNumId w:val="6"/>
  </w:num>
  <w:num w:numId="32">
    <w:abstractNumId w:val="24"/>
  </w:num>
  <w:num w:numId="33">
    <w:abstractNumId w:val="15"/>
  </w:num>
  <w:num w:numId="34">
    <w:abstractNumId w:val="4"/>
  </w:num>
  <w:num w:numId="35">
    <w:abstractNumId w:val="19"/>
  </w:num>
  <w:num w:numId="36">
    <w:abstractNumId w:val="18"/>
  </w:num>
  <w:num w:numId="37">
    <w:abstractNumId w:val="3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05982"/>
    <w:rsid w:val="00010921"/>
    <w:rsid w:val="00011005"/>
    <w:rsid w:val="00011A53"/>
    <w:rsid w:val="00011FB1"/>
    <w:rsid w:val="00012357"/>
    <w:rsid w:val="00012D3C"/>
    <w:rsid w:val="0001401B"/>
    <w:rsid w:val="000156C1"/>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DDB"/>
    <w:rsid w:val="00046EDE"/>
    <w:rsid w:val="00047C09"/>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1FB"/>
    <w:rsid w:val="000B25B1"/>
    <w:rsid w:val="000B2A45"/>
    <w:rsid w:val="000B2B68"/>
    <w:rsid w:val="000B4FD7"/>
    <w:rsid w:val="000C035A"/>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5AD"/>
    <w:rsid w:val="000E48A4"/>
    <w:rsid w:val="000E512F"/>
    <w:rsid w:val="000E7166"/>
    <w:rsid w:val="000F010F"/>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4AD"/>
    <w:rsid w:val="001255E0"/>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3EA"/>
    <w:rsid w:val="0014343A"/>
    <w:rsid w:val="0014354B"/>
    <w:rsid w:val="00143869"/>
    <w:rsid w:val="00145AA5"/>
    <w:rsid w:val="00146DE6"/>
    <w:rsid w:val="001471E4"/>
    <w:rsid w:val="00147305"/>
    <w:rsid w:val="00147657"/>
    <w:rsid w:val="001503B7"/>
    <w:rsid w:val="00151AC4"/>
    <w:rsid w:val="0015436A"/>
    <w:rsid w:val="0015445A"/>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E87"/>
    <w:rsid w:val="00194995"/>
    <w:rsid w:val="0019499E"/>
    <w:rsid w:val="00196998"/>
    <w:rsid w:val="00197BA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20"/>
    <w:rsid w:val="001D4091"/>
    <w:rsid w:val="001D51D6"/>
    <w:rsid w:val="001D524E"/>
    <w:rsid w:val="001D607B"/>
    <w:rsid w:val="001D61B8"/>
    <w:rsid w:val="001D7CA5"/>
    <w:rsid w:val="001E01A3"/>
    <w:rsid w:val="001E083E"/>
    <w:rsid w:val="001E2551"/>
    <w:rsid w:val="001E4E59"/>
    <w:rsid w:val="001E561F"/>
    <w:rsid w:val="001E5959"/>
    <w:rsid w:val="001E6796"/>
    <w:rsid w:val="001E6D76"/>
    <w:rsid w:val="001E71E1"/>
    <w:rsid w:val="001F1669"/>
    <w:rsid w:val="001F2638"/>
    <w:rsid w:val="001F3815"/>
    <w:rsid w:val="001F3BD8"/>
    <w:rsid w:val="001F4519"/>
    <w:rsid w:val="001F5199"/>
    <w:rsid w:val="001F5A64"/>
    <w:rsid w:val="001F6F91"/>
    <w:rsid w:val="001F7B02"/>
    <w:rsid w:val="001F7C2B"/>
    <w:rsid w:val="0020110C"/>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3DDF"/>
    <w:rsid w:val="00225263"/>
    <w:rsid w:val="00225F6B"/>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0D3C"/>
    <w:rsid w:val="00261808"/>
    <w:rsid w:val="002620E1"/>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834"/>
    <w:rsid w:val="00296E64"/>
    <w:rsid w:val="0029765F"/>
    <w:rsid w:val="002A0C8F"/>
    <w:rsid w:val="002A1E47"/>
    <w:rsid w:val="002A3A3D"/>
    <w:rsid w:val="002A4749"/>
    <w:rsid w:val="002A74D6"/>
    <w:rsid w:val="002B3B3B"/>
    <w:rsid w:val="002B4C6E"/>
    <w:rsid w:val="002B52C6"/>
    <w:rsid w:val="002B57DB"/>
    <w:rsid w:val="002B5A13"/>
    <w:rsid w:val="002B6BDA"/>
    <w:rsid w:val="002B7066"/>
    <w:rsid w:val="002B71B0"/>
    <w:rsid w:val="002C0B30"/>
    <w:rsid w:val="002C0D28"/>
    <w:rsid w:val="002C1230"/>
    <w:rsid w:val="002C46A5"/>
    <w:rsid w:val="002C4F90"/>
    <w:rsid w:val="002D06B4"/>
    <w:rsid w:val="002D233C"/>
    <w:rsid w:val="002D2EF7"/>
    <w:rsid w:val="002D471D"/>
    <w:rsid w:val="002D488B"/>
    <w:rsid w:val="002D53AF"/>
    <w:rsid w:val="002D5B2B"/>
    <w:rsid w:val="002D6BDA"/>
    <w:rsid w:val="002D6FEE"/>
    <w:rsid w:val="002D7507"/>
    <w:rsid w:val="002D7C06"/>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0A2"/>
    <w:rsid w:val="00324DCD"/>
    <w:rsid w:val="003250F2"/>
    <w:rsid w:val="003264AA"/>
    <w:rsid w:val="003273E7"/>
    <w:rsid w:val="00327449"/>
    <w:rsid w:val="0032775A"/>
    <w:rsid w:val="0033129D"/>
    <w:rsid w:val="00331709"/>
    <w:rsid w:val="003324E2"/>
    <w:rsid w:val="003341BA"/>
    <w:rsid w:val="0033527C"/>
    <w:rsid w:val="0033544D"/>
    <w:rsid w:val="00336575"/>
    <w:rsid w:val="00337211"/>
    <w:rsid w:val="00337623"/>
    <w:rsid w:val="003423BB"/>
    <w:rsid w:val="00342604"/>
    <w:rsid w:val="0034437D"/>
    <w:rsid w:val="00345DEA"/>
    <w:rsid w:val="00345F25"/>
    <w:rsid w:val="003476A1"/>
    <w:rsid w:val="003514CD"/>
    <w:rsid w:val="003518D4"/>
    <w:rsid w:val="00352C1E"/>
    <w:rsid w:val="00353368"/>
    <w:rsid w:val="00353783"/>
    <w:rsid w:val="00354C75"/>
    <w:rsid w:val="003552C8"/>
    <w:rsid w:val="0035579A"/>
    <w:rsid w:val="00356544"/>
    <w:rsid w:val="00360211"/>
    <w:rsid w:val="003610AD"/>
    <w:rsid w:val="00361538"/>
    <w:rsid w:val="00361D72"/>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3AEC"/>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05A"/>
    <w:rsid w:val="003C73BB"/>
    <w:rsid w:val="003C748B"/>
    <w:rsid w:val="003D1649"/>
    <w:rsid w:val="003D3265"/>
    <w:rsid w:val="003D33DE"/>
    <w:rsid w:val="003D35F7"/>
    <w:rsid w:val="003D3E2E"/>
    <w:rsid w:val="003D44EF"/>
    <w:rsid w:val="003D79CD"/>
    <w:rsid w:val="003E0574"/>
    <w:rsid w:val="003E079D"/>
    <w:rsid w:val="003E0FEE"/>
    <w:rsid w:val="003E1753"/>
    <w:rsid w:val="003E2779"/>
    <w:rsid w:val="003E463F"/>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54E6"/>
    <w:rsid w:val="003F680E"/>
    <w:rsid w:val="003F7398"/>
    <w:rsid w:val="00401F93"/>
    <w:rsid w:val="004020F8"/>
    <w:rsid w:val="0040329D"/>
    <w:rsid w:val="00404B4A"/>
    <w:rsid w:val="00405213"/>
    <w:rsid w:val="0040633D"/>
    <w:rsid w:val="004107E6"/>
    <w:rsid w:val="00410E0A"/>
    <w:rsid w:val="00412EC0"/>
    <w:rsid w:val="004150D5"/>
    <w:rsid w:val="00416BC4"/>
    <w:rsid w:val="00420853"/>
    <w:rsid w:val="00421E04"/>
    <w:rsid w:val="004229F5"/>
    <w:rsid w:val="00422B3C"/>
    <w:rsid w:val="00422EBE"/>
    <w:rsid w:val="004239D8"/>
    <w:rsid w:val="004240D5"/>
    <w:rsid w:val="00424A72"/>
    <w:rsid w:val="00424D6E"/>
    <w:rsid w:val="004254DF"/>
    <w:rsid w:val="00427387"/>
    <w:rsid w:val="004300DC"/>
    <w:rsid w:val="00430452"/>
    <w:rsid w:val="0043075F"/>
    <w:rsid w:val="00430840"/>
    <w:rsid w:val="0043205C"/>
    <w:rsid w:val="00432D00"/>
    <w:rsid w:val="00433063"/>
    <w:rsid w:val="00433489"/>
    <w:rsid w:val="004351C1"/>
    <w:rsid w:val="00435EE0"/>
    <w:rsid w:val="00436AEE"/>
    <w:rsid w:val="00437386"/>
    <w:rsid w:val="00440E60"/>
    <w:rsid w:val="00440F5C"/>
    <w:rsid w:val="0044110E"/>
    <w:rsid w:val="00441151"/>
    <w:rsid w:val="00442C0D"/>
    <w:rsid w:val="004430A5"/>
    <w:rsid w:val="004449A4"/>
    <w:rsid w:val="00445553"/>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2DC7"/>
    <w:rsid w:val="00484F59"/>
    <w:rsid w:val="00485376"/>
    <w:rsid w:val="0048570F"/>
    <w:rsid w:val="00485EE3"/>
    <w:rsid w:val="00485F12"/>
    <w:rsid w:val="00485FF9"/>
    <w:rsid w:val="00486540"/>
    <w:rsid w:val="00486849"/>
    <w:rsid w:val="00487090"/>
    <w:rsid w:val="00487DD9"/>
    <w:rsid w:val="0049325B"/>
    <w:rsid w:val="00493A37"/>
    <w:rsid w:val="004A0A28"/>
    <w:rsid w:val="004A1955"/>
    <w:rsid w:val="004A2F45"/>
    <w:rsid w:val="004A360E"/>
    <w:rsid w:val="004A377C"/>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678"/>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501E42"/>
    <w:rsid w:val="00502F63"/>
    <w:rsid w:val="00503993"/>
    <w:rsid w:val="00503F9D"/>
    <w:rsid w:val="0050422F"/>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3A4"/>
    <w:rsid w:val="0055167A"/>
    <w:rsid w:val="00553AF5"/>
    <w:rsid w:val="00555F2F"/>
    <w:rsid w:val="00562BA1"/>
    <w:rsid w:val="00563D95"/>
    <w:rsid w:val="00564A50"/>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425"/>
    <w:rsid w:val="006255CB"/>
    <w:rsid w:val="00626226"/>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2FE"/>
    <w:rsid w:val="00670F1B"/>
    <w:rsid w:val="006710BE"/>
    <w:rsid w:val="00673A4D"/>
    <w:rsid w:val="00675513"/>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827"/>
    <w:rsid w:val="00741B82"/>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C92"/>
    <w:rsid w:val="00771F90"/>
    <w:rsid w:val="007728C1"/>
    <w:rsid w:val="0077429E"/>
    <w:rsid w:val="00774491"/>
    <w:rsid w:val="00775996"/>
    <w:rsid w:val="00775EB9"/>
    <w:rsid w:val="0077688F"/>
    <w:rsid w:val="00776D43"/>
    <w:rsid w:val="00776FB7"/>
    <w:rsid w:val="00777922"/>
    <w:rsid w:val="0078020B"/>
    <w:rsid w:val="00780248"/>
    <w:rsid w:val="0078028C"/>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B299C"/>
    <w:rsid w:val="007B2A97"/>
    <w:rsid w:val="007B2B85"/>
    <w:rsid w:val="007B3ED7"/>
    <w:rsid w:val="007B49B4"/>
    <w:rsid w:val="007B4BAB"/>
    <w:rsid w:val="007B5D84"/>
    <w:rsid w:val="007B6146"/>
    <w:rsid w:val="007B6300"/>
    <w:rsid w:val="007C1FEB"/>
    <w:rsid w:val="007C25EB"/>
    <w:rsid w:val="007C5842"/>
    <w:rsid w:val="007C6231"/>
    <w:rsid w:val="007C7CD0"/>
    <w:rsid w:val="007D10F8"/>
    <w:rsid w:val="007D3572"/>
    <w:rsid w:val="007D3B92"/>
    <w:rsid w:val="007D79CB"/>
    <w:rsid w:val="007D7A62"/>
    <w:rsid w:val="007E1D9C"/>
    <w:rsid w:val="007E2462"/>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57E"/>
    <w:rsid w:val="0081426C"/>
    <w:rsid w:val="00814AD0"/>
    <w:rsid w:val="00814EE4"/>
    <w:rsid w:val="00815694"/>
    <w:rsid w:val="008166DC"/>
    <w:rsid w:val="00820C32"/>
    <w:rsid w:val="00822B88"/>
    <w:rsid w:val="00822F8F"/>
    <w:rsid w:val="00824242"/>
    <w:rsid w:val="00824384"/>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153B"/>
    <w:rsid w:val="0085217C"/>
    <w:rsid w:val="00852FCA"/>
    <w:rsid w:val="0085319C"/>
    <w:rsid w:val="00853D78"/>
    <w:rsid w:val="00855EBE"/>
    <w:rsid w:val="00856D47"/>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3191"/>
    <w:rsid w:val="008B494B"/>
    <w:rsid w:val="008B6030"/>
    <w:rsid w:val="008B6FD7"/>
    <w:rsid w:val="008C0511"/>
    <w:rsid w:val="008C3FDD"/>
    <w:rsid w:val="008C5D63"/>
    <w:rsid w:val="008C7A40"/>
    <w:rsid w:val="008D0B5E"/>
    <w:rsid w:val="008D324A"/>
    <w:rsid w:val="008D390E"/>
    <w:rsid w:val="008D5837"/>
    <w:rsid w:val="008D5A50"/>
    <w:rsid w:val="008D5BAB"/>
    <w:rsid w:val="008D5BB7"/>
    <w:rsid w:val="008E0543"/>
    <w:rsid w:val="008E0782"/>
    <w:rsid w:val="008E0990"/>
    <w:rsid w:val="008E0B25"/>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2802"/>
    <w:rsid w:val="009446EA"/>
    <w:rsid w:val="00947445"/>
    <w:rsid w:val="009502CE"/>
    <w:rsid w:val="00951B32"/>
    <w:rsid w:val="0095220B"/>
    <w:rsid w:val="00952316"/>
    <w:rsid w:val="00952A68"/>
    <w:rsid w:val="00952B7C"/>
    <w:rsid w:val="009532C0"/>
    <w:rsid w:val="00953B5A"/>
    <w:rsid w:val="00954215"/>
    <w:rsid w:val="00954A84"/>
    <w:rsid w:val="009551AD"/>
    <w:rsid w:val="009564A8"/>
    <w:rsid w:val="00960288"/>
    <w:rsid w:val="00961421"/>
    <w:rsid w:val="00961A4B"/>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0BE"/>
    <w:rsid w:val="00984BCE"/>
    <w:rsid w:val="0098598C"/>
    <w:rsid w:val="00985B18"/>
    <w:rsid w:val="00985C3D"/>
    <w:rsid w:val="00986810"/>
    <w:rsid w:val="00986FF8"/>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A067C"/>
    <w:rsid w:val="009A20C6"/>
    <w:rsid w:val="009A4121"/>
    <w:rsid w:val="009A546A"/>
    <w:rsid w:val="009A5C60"/>
    <w:rsid w:val="009A710E"/>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0AEE"/>
    <w:rsid w:val="009E2872"/>
    <w:rsid w:val="009E4A14"/>
    <w:rsid w:val="009E4D91"/>
    <w:rsid w:val="009F090B"/>
    <w:rsid w:val="009F0D5B"/>
    <w:rsid w:val="009F1A2B"/>
    <w:rsid w:val="009F307D"/>
    <w:rsid w:val="009F34AE"/>
    <w:rsid w:val="009F451D"/>
    <w:rsid w:val="009F5246"/>
    <w:rsid w:val="009F5B4F"/>
    <w:rsid w:val="009F7C74"/>
    <w:rsid w:val="009F7E96"/>
    <w:rsid w:val="009F7EBB"/>
    <w:rsid w:val="00A01ECD"/>
    <w:rsid w:val="00A02D0F"/>
    <w:rsid w:val="00A05F16"/>
    <w:rsid w:val="00A0653B"/>
    <w:rsid w:val="00A0774C"/>
    <w:rsid w:val="00A109F3"/>
    <w:rsid w:val="00A11BF8"/>
    <w:rsid w:val="00A12A90"/>
    <w:rsid w:val="00A1499F"/>
    <w:rsid w:val="00A160C7"/>
    <w:rsid w:val="00A16523"/>
    <w:rsid w:val="00A17407"/>
    <w:rsid w:val="00A17773"/>
    <w:rsid w:val="00A207CA"/>
    <w:rsid w:val="00A208A1"/>
    <w:rsid w:val="00A21216"/>
    <w:rsid w:val="00A214A9"/>
    <w:rsid w:val="00A22152"/>
    <w:rsid w:val="00A232AC"/>
    <w:rsid w:val="00A252F2"/>
    <w:rsid w:val="00A26BD0"/>
    <w:rsid w:val="00A2781F"/>
    <w:rsid w:val="00A30A46"/>
    <w:rsid w:val="00A31043"/>
    <w:rsid w:val="00A317FD"/>
    <w:rsid w:val="00A31E66"/>
    <w:rsid w:val="00A328DA"/>
    <w:rsid w:val="00A339E4"/>
    <w:rsid w:val="00A33E4A"/>
    <w:rsid w:val="00A368E9"/>
    <w:rsid w:val="00A371FA"/>
    <w:rsid w:val="00A37250"/>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244"/>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84E"/>
    <w:rsid w:val="00A82A40"/>
    <w:rsid w:val="00A83127"/>
    <w:rsid w:val="00A83669"/>
    <w:rsid w:val="00A846F3"/>
    <w:rsid w:val="00A84E99"/>
    <w:rsid w:val="00A85F48"/>
    <w:rsid w:val="00A86177"/>
    <w:rsid w:val="00A90E3A"/>
    <w:rsid w:val="00A90EFB"/>
    <w:rsid w:val="00A930E9"/>
    <w:rsid w:val="00A9571F"/>
    <w:rsid w:val="00A96360"/>
    <w:rsid w:val="00A964FE"/>
    <w:rsid w:val="00A96DBF"/>
    <w:rsid w:val="00A9778A"/>
    <w:rsid w:val="00A97967"/>
    <w:rsid w:val="00AA00B1"/>
    <w:rsid w:val="00AA0A55"/>
    <w:rsid w:val="00AA10C3"/>
    <w:rsid w:val="00AA26F6"/>
    <w:rsid w:val="00AA2861"/>
    <w:rsid w:val="00AA290C"/>
    <w:rsid w:val="00AA2BE4"/>
    <w:rsid w:val="00AA431D"/>
    <w:rsid w:val="00AA6847"/>
    <w:rsid w:val="00AA729C"/>
    <w:rsid w:val="00AB0F84"/>
    <w:rsid w:val="00AB1DAE"/>
    <w:rsid w:val="00AB2514"/>
    <w:rsid w:val="00AB265D"/>
    <w:rsid w:val="00AB2CAA"/>
    <w:rsid w:val="00AB465B"/>
    <w:rsid w:val="00AB4EF1"/>
    <w:rsid w:val="00AB51AA"/>
    <w:rsid w:val="00AB6015"/>
    <w:rsid w:val="00AB63F6"/>
    <w:rsid w:val="00AB6A6C"/>
    <w:rsid w:val="00AB6DF8"/>
    <w:rsid w:val="00AB7A6B"/>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7D0F"/>
    <w:rsid w:val="00AF05EB"/>
    <w:rsid w:val="00AF0B43"/>
    <w:rsid w:val="00AF0E2B"/>
    <w:rsid w:val="00AF1310"/>
    <w:rsid w:val="00AF1F04"/>
    <w:rsid w:val="00AF337A"/>
    <w:rsid w:val="00AF3E30"/>
    <w:rsid w:val="00AF51DB"/>
    <w:rsid w:val="00AF5419"/>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3D91"/>
    <w:rsid w:val="00B2681C"/>
    <w:rsid w:val="00B325F5"/>
    <w:rsid w:val="00B32D75"/>
    <w:rsid w:val="00B33290"/>
    <w:rsid w:val="00B33353"/>
    <w:rsid w:val="00B3361F"/>
    <w:rsid w:val="00B33858"/>
    <w:rsid w:val="00B339CD"/>
    <w:rsid w:val="00B342AC"/>
    <w:rsid w:val="00B3458D"/>
    <w:rsid w:val="00B410F3"/>
    <w:rsid w:val="00B412B6"/>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3EEB"/>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6F6"/>
    <w:rsid w:val="00B848C9"/>
    <w:rsid w:val="00B85D36"/>
    <w:rsid w:val="00B86C61"/>
    <w:rsid w:val="00B9165C"/>
    <w:rsid w:val="00B93E09"/>
    <w:rsid w:val="00B93EE0"/>
    <w:rsid w:val="00B96BFE"/>
    <w:rsid w:val="00B970D7"/>
    <w:rsid w:val="00BA0940"/>
    <w:rsid w:val="00BA1142"/>
    <w:rsid w:val="00BA267A"/>
    <w:rsid w:val="00BA2DC9"/>
    <w:rsid w:val="00BA3A0E"/>
    <w:rsid w:val="00BA3D0B"/>
    <w:rsid w:val="00BA4202"/>
    <w:rsid w:val="00BA5A0C"/>
    <w:rsid w:val="00BB0057"/>
    <w:rsid w:val="00BB0244"/>
    <w:rsid w:val="00BB0E74"/>
    <w:rsid w:val="00BB308A"/>
    <w:rsid w:val="00BB3744"/>
    <w:rsid w:val="00BB3A02"/>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1A1"/>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BF6F1B"/>
    <w:rsid w:val="00C0196E"/>
    <w:rsid w:val="00C02C22"/>
    <w:rsid w:val="00C0397A"/>
    <w:rsid w:val="00C0411A"/>
    <w:rsid w:val="00C045E6"/>
    <w:rsid w:val="00C0469F"/>
    <w:rsid w:val="00C04EB8"/>
    <w:rsid w:val="00C0522E"/>
    <w:rsid w:val="00C06B4F"/>
    <w:rsid w:val="00C06FEF"/>
    <w:rsid w:val="00C10261"/>
    <w:rsid w:val="00C10A32"/>
    <w:rsid w:val="00C1271B"/>
    <w:rsid w:val="00C13585"/>
    <w:rsid w:val="00C13880"/>
    <w:rsid w:val="00C154C4"/>
    <w:rsid w:val="00C15E33"/>
    <w:rsid w:val="00C17342"/>
    <w:rsid w:val="00C20C78"/>
    <w:rsid w:val="00C214D7"/>
    <w:rsid w:val="00C215D0"/>
    <w:rsid w:val="00C232F1"/>
    <w:rsid w:val="00C23C48"/>
    <w:rsid w:val="00C24BDB"/>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6CE5"/>
    <w:rsid w:val="00C57126"/>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1AF5"/>
    <w:rsid w:val="00C824C3"/>
    <w:rsid w:val="00C83756"/>
    <w:rsid w:val="00C84EA2"/>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8CA"/>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20E"/>
    <w:rsid w:val="00CC6844"/>
    <w:rsid w:val="00CC7C8D"/>
    <w:rsid w:val="00CC7F39"/>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4CE"/>
    <w:rsid w:val="00CE7998"/>
    <w:rsid w:val="00CE7F74"/>
    <w:rsid w:val="00CF03A8"/>
    <w:rsid w:val="00CF0C5D"/>
    <w:rsid w:val="00CF1CF7"/>
    <w:rsid w:val="00CF1E15"/>
    <w:rsid w:val="00CF32AB"/>
    <w:rsid w:val="00CF344A"/>
    <w:rsid w:val="00CF359A"/>
    <w:rsid w:val="00CF3790"/>
    <w:rsid w:val="00CF3A95"/>
    <w:rsid w:val="00CF3B66"/>
    <w:rsid w:val="00CF4F42"/>
    <w:rsid w:val="00CF5419"/>
    <w:rsid w:val="00CF57C7"/>
    <w:rsid w:val="00CF6AD3"/>
    <w:rsid w:val="00CF7537"/>
    <w:rsid w:val="00CF7C58"/>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3CF3"/>
    <w:rsid w:val="00D24B98"/>
    <w:rsid w:val="00D2719E"/>
    <w:rsid w:val="00D2759E"/>
    <w:rsid w:val="00D27B3D"/>
    <w:rsid w:val="00D3051E"/>
    <w:rsid w:val="00D31D6A"/>
    <w:rsid w:val="00D32097"/>
    <w:rsid w:val="00D33009"/>
    <w:rsid w:val="00D33ACD"/>
    <w:rsid w:val="00D348E4"/>
    <w:rsid w:val="00D40DAB"/>
    <w:rsid w:val="00D4171F"/>
    <w:rsid w:val="00D45669"/>
    <w:rsid w:val="00D5026F"/>
    <w:rsid w:val="00D50403"/>
    <w:rsid w:val="00D51146"/>
    <w:rsid w:val="00D5147E"/>
    <w:rsid w:val="00D51890"/>
    <w:rsid w:val="00D51B09"/>
    <w:rsid w:val="00D52FCF"/>
    <w:rsid w:val="00D53155"/>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701A1"/>
    <w:rsid w:val="00D70461"/>
    <w:rsid w:val="00D70C18"/>
    <w:rsid w:val="00D71842"/>
    <w:rsid w:val="00D72E1A"/>
    <w:rsid w:val="00D74EF6"/>
    <w:rsid w:val="00D772A3"/>
    <w:rsid w:val="00D8023F"/>
    <w:rsid w:val="00D816A4"/>
    <w:rsid w:val="00D82B0E"/>
    <w:rsid w:val="00D84E2B"/>
    <w:rsid w:val="00D84F91"/>
    <w:rsid w:val="00D8585C"/>
    <w:rsid w:val="00D859A8"/>
    <w:rsid w:val="00D87747"/>
    <w:rsid w:val="00D87CA4"/>
    <w:rsid w:val="00D90384"/>
    <w:rsid w:val="00D90C34"/>
    <w:rsid w:val="00D936B4"/>
    <w:rsid w:val="00D93BE3"/>
    <w:rsid w:val="00D93F0A"/>
    <w:rsid w:val="00D94390"/>
    <w:rsid w:val="00D945AF"/>
    <w:rsid w:val="00D9542E"/>
    <w:rsid w:val="00D957EA"/>
    <w:rsid w:val="00D958E3"/>
    <w:rsid w:val="00D9669C"/>
    <w:rsid w:val="00DA10E8"/>
    <w:rsid w:val="00DA19A1"/>
    <w:rsid w:val="00DA5683"/>
    <w:rsid w:val="00DA711A"/>
    <w:rsid w:val="00DB11AA"/>
    <w:rsid w:val="00DB11F4"/>
    <w:rsid w:val="00DB14D9"/>
    <w:rsid w:val="00DB16EA"/>
    <w:rsid w:val="00DB18A3"/>
    <w:rsid w:val="00DB20BE"/>
    <w:rsid w:val="00DB27F9"/>
    <w:rsid w:val="00DB2A4A"/>
    <w:rsid w:val="00DB3288"/>
    <w:rsid w:val="00DC0010"/>
    <w:rsid w:val="00DC1896"/>
    <w:rsid w:val="00DC19D1"/>
    <w:rsid w:val="00DC1A25"/>
    <w:rsid w:val="00DC1A29"/>
    <w:rsid w:val="00DC1B5C"/>
    <w:rsid w:val="00DC1D4C"/>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9D9"/>
    <w:rsid w:val="00DF3A66"/>
    <w:rsid w:val="00DF3E32"/>
    <w:rsid w:val="00DF5EBA"/>
    <w:rsid w:val="00DF734A"/>
    <w:rsid w:val="00DF73AC"/>
    <w:rsid w:val="00DF7613"/>
    <w:rsid w:val="00E007C7"/>
    <w:rsid w:val="00E009AC"/>
    <w:rsid w:val="00E00CB3"/>
    <w:rsid w:val="00E03127"/>
    <w:rsid w:val="00E04943"/>
    <w:rsid w:val="00E04DA3"/>
    <w:rsid w:val="00E04F4E"/>
    <w:rsid w:val="00E052E0"/>
    <w:rsid w:val="00E063DF"/>
    <w:rsid w:val="00E10B86"/>
    <w:rsid w:val="00E11BD7"/>
    <w:rsid w:val="00E11D4C"/>
    <w:rsid w:val="00E1278E"/>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16F"/>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97451"/>
    <w:rsid w:val="00EA0256"/>
    <w:rsid w:val="00EA1043"/>
    <w:rsid w:val="00EA15EC"/>
    <w:rsid w:val="00EA1E56"/>
    <w:rsid w:val="00EA20B0"/>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D5DA0"/>
    <w:rsid w:val="00EE082D"/>
    <w:rsid w:val="00EE08C5"/>
    <w:rsid w:val="00EE2767"/>
    <w:rsid w:val="00EE2DBE"/>
    <w:rsid w:val="00EE4827"/>
    <w:rsid w:val="00EE75A5"/>
    <w:rsid w:val="00EF006D"/>
    <w:rsid w:val="00EF0DBD"/>
    <w:rsid w:val="00EF12AC"/>
    <w:rsid w:val="00EF1F85"/>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797"/>
    <w:rsid w:val="00F0387E"/>
    <w:rsid w:val="00F03B43"/>
    <w:rsid w:val="00F040F9"/>
    <w:rsid w:val="00F06541"/>
    <w:rsid w:val="00F070D6"/>
    <w:rsid w:val="00F07F4E"/>
    <w:rsid w:val="00F11730"/>
    <w:rsid w:val="00F120EC"/>
    <w:rsid w:val="00F12AD3"/>
    <w:rsid w:val="00F133E1"/>
    <w:rsid w:val="00F1444B"/>
    <w:rsid w:val="00F15D19"/>
    <w:rsid w:val="00F16046"/>
    <w:rsid w:val="00F173FD"/>
    <w:rsid w:val="00F179FB"/>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0CB"/>
    <w:rsid w:val="00F445C3"/>
    <w:rsid w:val="00F446D7"/>
    <w:rsid w:val="00F45E58"/>
    <w:rsid w:val="00F46173"/>
    <w:rsid w:val="00F4639C"/>
    <w:rsid w:val="00F47ABE"/>
    <w:rsid w:val="00F5070D"/>
    <w:rsid w:val="00F50EF1"/>
    <w:rsid w:val="00F52296"/>
    <w:rsid w:val="00F56484"/>
    <w:rsid w:val="00F56C05"/>
    <w:rsid w:val="00F56E59"/>
    <w:rsid w:val="00F57D45"/>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126"/>
    <w:rsid w:val="00FB03EA"/>
    <w:rsid w:val="00FB1962"/>
    <w:rsid w:val="00FB4F84"/>
    <w:rsid w:val="00FB52F3"/>
    <w:rsid w:val="00FB6B74"/>
    <w:rsid w:val="00FB6C6B"/>
    <w:rsid w:val="00FB7598"/>
    <w:rsid w:val="00FB7C17"/>
    <w:rsid w:val="00FC0D33"/>
    <w:rsid w:val="00FC1D4F"/>
    <w:rsid w:val="00FC260D"/>
    <w:rsid w:val="00FC2BA3"/>
    <w:rsid w:val="00FC5185"/>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75A12-C801-4017-82EA-0A85532F9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1382</Words>
  <Characters>7879</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6</cp:revision>
  <cp:lastPrinted>2012-03-15T10:36:00Z</cp:lastPrinted>
  <dcterms:created xsi:type="dcterms:W3CDTF">2017-10-02T16:49:00Z</dcterms:created>
  <dcterms:modified xsi:type="dcterms:W3CDTF">2017-10-02T17:11:00Z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DD2D86356A0C11F9A58E69E87A25F5CE1873F99AE374DDF536B03346C7F41126</vt:lpwstr>
  </property>
  <property fmtid="{D5CDD505-2E9C-101B-9397-08002B2CF9AE}" pid="2" name="NSCPROP">
    <vt:lpwstr>NSCCustomProperty</vt:lpwstr>
  </property>
  <property fmtid="{D5CDD505-2E9C-101B-9397-08002B2CF9AE}" pid="3" name="NSCPROP_SA">
    <vt:lpwstr>D:\업무문서\2017\5G\RAN1#90bis - Prague\Draft contribution - MIMO\R1-1717607 NR CQI.docx</vt:lpwstr>
  </property>
</Properties>
</file>